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0383DB92"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#116</w:t>
      </w:r>
      <w:r w:rsidR="00082051">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R4-25</w:t>
      </w:r>
      <w:r w:rsidR="009B3D74">
        <w:rPr>
          <w:rFonts w:ascii="Arial" w:eastAsiaTheme="minorEastAsia" w:hAnsi="Arial" w:cs="Arial"/>
          <w:b/>
          <w:sz w:val="24"/>
          <w:szCs w:val="24"/>
          <w:lang w:eastAsia="zh-CN"/>
        </w:rPr>
        <w:t>13878</w:t>
      </w:r>
    </w:p>
    <w:p w14:paraId="1A718501" w14:textId="00CE01E7" w:rsidR="00D81ADA" w:rsidRDefault="00082051"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Prague</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Czech</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17</w:t>
      </w:r>
      <w:r w:rsidR="00D81ADA" w:rsidRPr="0037551F">
        <w:rPr>
          <w:rFonts w:ascii="Arial" w:hAnsi="Arial"/>
          <w:b/>
          <w:sz w:val="24"/>
          <w:szCs w:val="24"/>
          <w:vertAlign w:val="superscript"/>
          <w:lang w:eastAsia="zh-CN"/>
        </w:rPr>
        <w:t>th</w:t>
      </w:r>
      <w:r w:rsidR="00D81ADA">
        <w:rPr>
          <w:rFonts w:ascii="Arial" w:hAnsi="Arial"/>
          <w:b/>
          <w:sz w:val="24"/>
          <w:szCs w:val="24"/>
          <w:lang w:eastAsia="zh-CN"/>
        </w:rPr>
        <w:t xml:space="preserve"> </w:t>
      </w:r>
      <w:r>
        <w:rPr>
          <w:rFonts w:ascii="Arial" w:hAnsi="Arial"/>
          <w:b/>
          <w:sz w:val="24"/>
          <w:szCs w:val="24"/>
          <w:lang w:eastAsia="zh-CN"/>
        </w:rPr>
        <w:t>October</w:t>
      </w:r>
      <w:r w:rsidR="00D81ADA">
        <w:rPr>
          <w:rFonts w:ascii="Arial" w:hAnsi="Arial"/>
          <w:b/>
          <w:sz w:val="24"/>
          <w:szCs w:val="24"/>
          <w:lang w:eastAsia="zh-CN"/>
        </w:rPr>
        <w:t>, 2025</w:t>
      </w:r>
    </w:p>
    <w:p w14:paraId="100824A0" w14:textId="77777777" w:rsidR="00D81ADA" w:rsidRPr="00082051" w:rsidRDefault="00D81ADA" w:rsidP="00D81ADA">
      <w:pPr>
        <w:spacing w:after="120"/>
        <w:ind w:left="1985" w:hanging="1985"/>
        <w:rPr>
          <w:rFonts w:ascii="Arial" w:eastAsia="MS Mincho" w:hAnsi="Arial" w:cs="Arial"/>
          <w:b/>
          <w:sz w:val="22"/>
        </w:rPr>
      </w:pPr>
    </w:p>
    <w:p w14:paraId="2371B683" w14:textId="166FCC8F"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794501">
        <w:rPr>
          <w:rFonts w:ascii="Arial" w:eastAsiaTheme="minorEastAsia" w:hAnsi="Arial" w:cs="Arial"/>
          <w:color w:val="000000"/>
          <w:sz w:val="22"/>
          <w:lang w:eastAsia="zh-CN"/>
        </w:rPr>
        <w:t>4.13.1.3</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00F407E3"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794501" w:rsidRPr="00794501">
        <w:rPr>
          <w:rFonts w:ascii="Arial" w:eastAsia="Malgun Gothic" w:hAnsi="Arial" w:cs="Arial"/>
          <w:sz w:val="22"/>
          <w:lang w:eastAsia="ko-KR"/>
        </w:rPr>
        <w:t>HARQ and weighting for dynamic MIMO OTA</w:t>
      </w:r>
    </w:p>
    <w:p w14:paraId="4875F599" w14:textId="2AC12DAB"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72881F5E" w14:textId="73B571DA" w:rsidR="00914752" w:rsidRDefault="007C516F" w:rsidP="00695B13">
      <w:pPr>
        <w:jc w:val="left"/>
        <w:rPr>
          <w:lang w:eastAsia="zh-CN"/>
        </w:rPr>
      </w:pPr>
      <w:r>
        <w:rPr>
          <w:rFonts w:hint="eastAsia"/>
          <w:lang w:eastAsia="zh-CN"/>
        </w:rPr>
        <w:t>The</w:t>
      </w:r>
      <w:r>
        <w:rPr>
          <w:lang w:eastAsia="zh-CN"/>
        </w:rPr>
        <w:t xml:space="preserve"> core part for dynamic MIMO OTA was completed in last RAN4 meeting, with two main issues remained in maintenance phase:</w:t>
      </w:r>
    </w:p>
    <w:p w14:paraId="4EFDA526" w14:textId="5C00D1FB" w:rsidR="007C516F" w:rsidRPr="007C516F" w:rsidRDefault="00F176E1" w:rsidP="007C516F">
      <w:pPr>
        <w:pStyle w:val="aff6"/>
        <w:numPr>
          <w:ilvl w:val="0"/>
          <w:numId w:val="37"/>
        </w:numPr>
        <w:ind w:firstLineChars="0"/>
        <w:jc w:val="left"/>
      </w:pPr>
      <w:r w:rsidRPr="00F176E1">
        <w:rPr>
          <w:rFonts w:eastAsiaTheme="minorEastAsia"/>
          <w:lang w:eastAsia="zh-CN"/>
        </w:rPr>
        <w:t>Maximum number of HARQ transmission</w:t>
      </w:r>
    </w:p>
    <w:p w14:paraId="28A11528" w14:textId="28CD335A" w:rsidR="007C516F" w:rsidRPr="007C516F" w:rsidRDefault="007C516F" w:rsidP="007C516F">
      <w:pPr>
        <w:pStyle w:val="aff6"/>
        <w:numPr>
          <w:ilvl w:val="0"/>
          <w:numId w:val="37"/>
        </w:numPr>
        <w:ind w:firstLineChars="0"/>
        <w:jc w:val="left"/>
      </w:pPr>
      <w:r>
        <w:rPr>
          <w:rFonts w:eastAsiaTheme="minorEastAsia"/>
          <w:lang w:eastAsia="zh-CN"/>
        </w:rPr>
        <w:t xml:space="preserve">The weighting factors value for </w:t>
      </w:r>
      <w:r>
        <w:rPr>
          <w:rFonts w:eastAsiaTheme="minorEastAsia" w:hint="eastAsia"/>
          <w:lang w:eastAsia="zh-CN"/>
        </w:rPr>
        <w:t>CMT</w:t>
      </w:r>
    </w:p>
    <w:p w14:paraId="247E5472" w14:textId="4FCD0BD3" w:rsidR="00EF188E" w:rsidRPr="00CD2D05" w:rsidRDefault="00CD2D05" w:rsidP="00695B13">
      <w:pPr>
        <w:jc w:val="left"/>
        <w:rPr>
          <w:rFonts w:eastAsiaTheme="minorEastAsia"/>
          <w:lang w:eastAsia="zh-CN"/>
        </w:rPr>
      </w:pPr>
      <w:r>
        <w:rPr>
          <w:rFonts w:eastAsiaTheme="minorEastAsia" w:hint="eastAsia"/>
          <w:lang w:eastAsia="zh-CN"/>
        </w:rPr>
        <w:t>I</w:t>
      </w:r>
      <w:r>
        <w:rPr>
          <w:rFonts w:eastAsiaTheme="minorEastAsia"/>
          <w:lang w:eastAsia="zh-CN"/>
        </w:rPr>
        <w:t>n this contribution we share our views on how to move forward for above open issues.</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0928B998" w14:textId="1EE7F5A2" w:rsidR="00CD2D05" w:rsidRPr="00D04B45" w:rsidRDefault="000932A9" w:rsidP="00DA7D18">
      <w:pPr>
        <w:jc w:val="left"/>
        <w:rPr>
          <w:rFonts w:eastAsiaTheme="minorEastAsia"/>
          <w:lang w:eastAsia="zh-CN"/>
        </w:rPr>
      </w:pPr>
      <w:r>
        <w:rPr>
          <w:rFonts w:eastAsiaTheme="minorEastAsia" w:hint="eastAsia"/>
          <w:lang w:eastAsia="zh-CN"/>
        </w:rPr>
        <w:t>A</w:t>
      </w:r>
      <w:r>
        <w:rPr>
          <w:rFonts w:eastAsiaTheme="minorEastAsia"/>
          <w:lang w:eastAsia="zh-CN"/>
        </w:rPr>
        <w:t>s indicated in the latest TR 38.762</w:t>
      </w:r>
      <w:r w:rsidR="00D04B45">
        <w:rPr>
          <w:rFonts w:eastAsiaTheme="minorEastAsia"/>
          <w:lang w:eastAsia="zh-CN"/>
        </w:rPr>
        <w:t xml:space="preserve"> [1]</w:t>
      </w:r>
      <w:r w:rsidR="00D04B45">
        <w:rPr>
          <w:rFonts w:eastAsiaTheme="minorEastAsia" w:hint="eastAsia"/>
          <w:lang w:eastAsia="zh-CN"/>
        </w:rPr>
        <w:t>,</w:t>
      </w:r>
      <w:r w:rsidR="00D04B45">
        <w:rPr>
          <w:rFonts w:eastAsiaTheme="minorEastAsia"/>
          <w:lang w:eastAsia="zh-CN"/>
        </w:rPr>
        <w:t xml:space="preserve"> the maximum number of HARQ transmission parameter for dynamic link adaptation is still FFS.</w:t>
      </w:r>
    </w:p>
    <w:p w14:paraId="18005D0C" w14:textId="77777777" w:rsidR="00D04B45" w:rsidRDefault="00D04B45" w:rsidP="00D04B45">
      <w:pPr>
        <w:pStyle w:val="TH"/>
      </w:pPr>
      <w:bookmarkStart w:id="1" w:name="_Ref105583430"/>
      <w:bookmarkStart w:id="2" w:name="_Ref105583427"/>
      <w:r>
        <w:lastRenderedPageBreak/>
        <w:t xml:space="preserve">Table </w:t>
      </w:r>
      <w:bookmarkEnd w:id="1"/>
      <w:r>
        <w:t>9.3-1: CSI configuration</w:t>
      </w:r>
      <w:bookmarkEnd w:id="2"/>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3856"/>
        <w:gridCol w:w="682"/>
        <w:gridCol w:w="3097"/>
      </w:tblGrid>
      <w:tr w:rsidR="00D04B45" w14:paraId="3C5C8455"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FE478F" w14:textId="77777777" w:rsidR="00D04B45" w:rsidRDefault="00D04B45" w:rsidP="000666A2">
            <w:pPr>
              <w:pStyle w:val="TAH"/>
            </w:pPr>
            <w:r>
              <w:t>Parameter</w:t>
            </w:r>
          </w:p>
        </w:tc>
        <w:tc>
          <w:tcPr>
            <w:tcW w:w="3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0C2D9E" w14:textId="77777777" w:rsidR="00D04B45" w:rsidRDefault="00D04B45" w:rsidP="000666A2">
            <w:pPr>
              <w:pStyle w:val="TAH"/>
            </w:pPr>
            <w:r>
              <w:t>Unit</w:t>
            </w:r>
          </w:p>
        </w:tc>
        <w:tc>
          <w:tcPr>
            <w:tcW w:w="16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3EB2C1" w14:textId="77777777" w:rsidR="00D04B45" w:rsidRDefault="00D04B45" w:rsidP="000666A2">
            <w:pPr>
              <w:pStyle w:val="TAH"/>
            </w:pPr>
            <w:r>
              <w:t xml:space="preserve">Test </w:t>
            </w:r>
          </w:p>
        </w:tc>
      </w:tr>
      <w:tr w:rsidR="00D04B45" w14:paraId="7F88058B"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444D9236" w14:textId="77777777" w:rsidR="00D04B45" w:rsidRDefault="00D04B45" w:rsidP="000666A2">
            <w:pPr>
              <w:pStyle w:val="TAL"/>
            </w:pPr>
            <w:r>
              <w:t>TDD Slot Configuration (Note 1)</w:t>
            </w:r>
          </w:p>
        </w:tc>
        <w:tc>
          <w:tcPr>
            <w:tcW w:w="354" w:type="pct"/>
            <w:tcBorders>
              <w:top w:val="single" w:sz="4" w:space="0" w:color="auto"/>
              <w:left w:val="single" w:sz="4" w:space="0" w:color="auto"/>
              <w:bottom w:val="single" w:sz="4" w:space="0" w:color="auto"/>
              <w:right w:val="single" w:sz="4" w:space="0" w:color="auto"/>
            </w:tcBorders>
            <w:vAlign w:val="center"/>
          </w:tcPr>
          <w:p w14:paraId="6EEEF995"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60E9AC68" w14:textId="77777777" w:rsidR="00D04B45" w:rsidRDefault="00D04B45" w:rsidP="000666A2">
            <w:pPr>
              <w:pStyle w:val="TAL"/>
            </w:pPr>
            <w:r>
              <w:t>FR1.30-1</w:t>
            </w:r>
          </w:p>
        </w:tc>
      </w:tr>
      <w:tr w:rsidR="00D04B45" w14:paraId="0EDBBA2F"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204997B0" w14:textId="77777777" w:rsidR="00D04B45" w:rsidRDefault="00D04B45" w:rsidP="000666A2">
            <w:pPr>
              <w:pStyle w:val="TAL"/>
            </w:pPr>
            <w:r>
              <w:t>SNR</w:t>
            </w:r>
          </w:p>
        </w:tc>
        <w:tc>
          <w:tcPr>
            <w:tcW w:w="354" w:type="pct"/>
            <w:tcBorders>
              <w:top w:val="single" w:sz="4" w:space="0" w:color="auto"/>
              <w:left w:val="single" w:sz="4" w:space="0" w:color="auto"/>
              <w:bottom w:val="single" w:sz="4" w:space="0" w:color="auto"/>
              <w:right w:val="single" w:sz="4" w:space="0" w:color="auto"/>
            </w:tcBorders>
            <w:vAlign w:val="center"/>
          </w:tcPr>
          <w:p w14:paraId="424D0DE2" w14:textId="77777777" w:rsidR="00D04B45" w:rsidRDefault="00D04B45" w:rsidP="000666A2">
            <w:pPr>
              <w:pStyle w:val="TAL"/>
            </w:pPr>
            <w:r>
              <w:t>dB</w:t>
            </w:r>
          </w:p>
        </w:tc>
        <w:tc>
          <w:tcPr>
            <w:tcW w:w="1608" w:type="pct"/>
            <w:tcBorders>
              <w:top w:val="single" w:sz="4" w:space="0" w:color="auto"/>
              <w:left w:val="single" w:sz="4" w:space="0" w:color="auto"/>
              <w:bottom w:val="single" w:sz="4" w:space="0" w:color="auto"/>
              <w:right w:val="single" w:sz="4" w:space="0" w:color="auto"/>
            </w:tcBorders>
            <w:vAlign w:val="center"/>
          </w:tcPr>
          <w:p w14:paraId="211A73DD" w14:textId="77777777" w:rsidR="00D04B45" w:rsidRDefault="00D04B45" w:rsidP="000666A2">
            <w:pPr>
              <w:pStyle w:val="TAL"/>
            </w:pPr>
            <w:r>
              <w:t>22</w:t>
            </w:r>
          </w:p>
        </w:tc>
      </w:tr>
      <w:tr w:rsidR="00D04B45" w14:paraId="6A29B178"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1E8248D6" w14:textId="77777777" w:rsidR="00D04B45" w:rsidRDefault="00D04B45" w:rsidP="000666A2">
            <w:pPr>
              <w:pStyle w:val="TAL"/>
            </w:pPr>
            <w:r>
              <w:t>Beamforming Model</w:t>
            </w:r>
          </w:p>
        </w:tc>
        <w:tc>
          <w:tcPr>
            <w:tcW w:w="354" w:type="pct"/>
            <w:tcBorders>
              <w:top w:val="single" w:sz="4" w:space="0" w:color="auto"/>
              <w:left w:val="single" w:sz="4" w:space="0" w:color="auto"/>
              <w:bottom w:val="single" w:sz="4" w:space="0" w:color="auto"/>
              <w:right w:val="single" w:sz="4" w:space="0" w:color="auto"/>
            </w:tcBorders>
            <w:vAlign w:val="center"/>
          </w:tcPr>
          <w:p w14:paraId="0730F038"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7B7C49D7" w14:textId="77777777" w:rsidR="00D04B45" w:rsidRPr="00D04B45" w:rsidRDefault="00D04B45" w:rsidP="000666A2">
            <w:pPr>
              <w:pStyle w:val="TAL"/>
              <w:rPr>
                <w:lang w:val="en-US"/>
              </w:rPr>
            </w:pPr>
            <w:r w:rsidRPr="00D04B45">
              <w:rPr>
                <w:lang w:val="en-US"/>
              </w:rPr>
              <w:t>As defined in Clause B.4.1 in TS 38.101-4 [8]</w:t>
            </w:r>
          </w:p>
        </w:tc>
      </w:tr>
      <w:tr w:rsidR="00D04B45" w14:paraId="5F3BC74B" w14:textId="77777777" w:rsidTr="000666A2">
        <w:trPr>
          <w:trHeight w:val="70"/>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5C8A25E1" w14:textId="77777777" w:rsidR="00D04B45" w:rsidRDefault="00D04B45" w:rsidP="000666A2">
            <w:pPr>
              <w:pStyle w:val="TAL"/>
            </w:pPr>
            <w:r>
              <w:t>CSI-IM configuration</w:t>
            </w:r>
          </w:p>
        </w:tc>
        <w:tc>
          <w:tcPr>
            <w:tcW w:w="2002" w:type="pct"/>
            <w:tcBorders>
              <w:top w:val="single" w:sz="4" w:space="0" w:color="auto"/>
              <w:left w:val="single" w:sz="4" w:space="0" w:color="auto"/>
              <w:bottom w:val="single" w:sz="4" w:space="0" w:color="auto"/>
              <w:right w:val="single" w:sz="4" w:space="0" w:color="auto"/>
            </w:tcBorders>
          </w:tcPr>
          <w:p w14:paraId="3ADC080C" w14:textId="77777777" w:rsidR="00D04B45" w:rsidRDefault="00D04B45" w:rsidP="000666A2">
            <w:pPr>
              <w:pStyle w:val="TAL"/>
            </w:pPr>
            <w:r>
              <w:t>CSI-IM resource Type</w:t>
            </w:r>
          </w:p>
        </w:tc>
        <w:tc>
          <w:tcPr>
            <w:tcW w:w="354" w:type="pct"/>
            <w:tcBorders>
              <w:top w:val="single" w:sz="4" w:space="0" w:color="auto"/>
              <w:left w:val="single" w:sz="4" w:space="0" w:color="auto"/>
              <w:bottom w:val="single" w:sz="4" w:space="0" w:color="auto"/>
              <w:right w:val="single" w:sz="4" w:space="0" w:color="auto"/>
            </w:tcBorders>
            <w:vAlign w:val="center"/>
          </w:tcPr>
          <w:p w14:paraId="262D9000"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3CFA0919" w14:textId="77777777" w:rsidR="00D04B45" w:rsidRDefault="00D04B45" w:rsidP="000666A2">
            <w:pPr>
              <w:pStyle w:val="TAL"/>
            </w:pPr>
            <w:r>
              <w:t>Periodic</w:t>
            </w:r>
          </w:p>
        </w:tc>
      </w:tr>
      <w:tr w:rsidR="00D04B45" w14:paraId="5886CABE" w14:textId="77777777" w:rsidTr="000666A2">
        <w:trPr>
          <w:trHeight w:val="70"/>
        </w:trPr>
        <w:tc>
          <w:tcPr>
            <w:tcW w:w="1036" w:type="pct"/>
            <w:vMerge/>
            <w:tcBorders>
              <w:top w:val="single" w:sz="4" w:space="0" w:color="auto"/>
              <w:left w:val="single" w:sz="4" w:space="0" w:color="auto"/>
              <w:bottom w:val="single" w:sz="4" w:space="0" w:color="auto"/>
              <w:right w:val="single" w:sz="4" w:space="0" w:color="auto"/>
            </w:tcBorders>
            <w:vAlign w:val="center"/>
          </w:tcPr>
          <w:p w14:paraId="13595F77" w14:textId="77777777" w:rsidR="00D04B45" w:rsidRDefault="00D04B45" w:rsidP="000666A2">
            <w:pPr>
              <w:pStyle w:val="TAL"/>
            </w:pPr>
          </w:p>
        </w:tc>
        <w:tc>
          <w:tcPr>
            <w:tcW w:w="2002" w:type="pct"/>
            <w:tcBorders>
              <w:top w:val="single" w:sz="4" w:space="0" w:color="auto"/>
              <w:left w:val="single" w:sz="4" w:space="0" w:color="auto"/>
              <w:bottom w:val="single" w:sz="4" w:space="0" w:color="auto"/>
              <w:right w:val="single" w:sz="4" w:space="0" w:color="auto"/>
            </w:tcBorders>
          </w:tcPr>
          <w:p w14:paraId="66B01C30" w14:textId="77777777" w:rsidR="00D04B45" w:rsidRDefault="00D04B45" w:rsidP="000666A2">
            <w:pPr>
              <w:pStyle w:val="TAL"/>
            </w:pPr>
            <w:r>
              <w:t>CSI-IM RE pattern</w:t>
            </w:r>
          </w:p>
        </w:tc>
        <w:tc>
          <w:tcPr>
            <w:tcW w:w="354" w:type="pct"/>
            <w:tcBorders>
              <w:top w:val="single" w:sz="4" w:space="0" w:color="auto"/>
              <w:left w:val="single" w:sz="4" w:space="0" w:color="auto"/>
              <w:bottom w:val="single" w:sz="4" w:space="0" w:color="auto"/>
              <w:right w:val="single" w:sz="4" w:space="0" w:color="auto"/>
            </w:tcBorders>
            <w:vAlign w:val="center"/>
          </w:tcPr>
          <w:p w14:paraId="0D3653FA"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78405EEE" w14:textId="77777777" w:rsidR="00D04B45" w:rsidRDefault="00D04B45" w:rsidP="000666A2">
            <w:pPr>
              <w:pStyle w:val="TAL"/>
            </w:pPr>
            <w:r>
              <w:t>Pattern 0</w:t>
            </w:r>
          </w:p>
        </w:tc>
      </w:tr>
      <w:tr w:rsidR="00D04B45" w14:paraId="3F723CB8" w14:textId="77777777" w:rsidTr="000666A2">
        <w:trPr>
          <w:trHeight w:val="70"/>
        </w:trPr>
        <w:tc>
          <w:tcPr>
            <w:tcW w:w="1036" w:type="pct"/>
            <w:vMerge/>
            <w:tcBorders>
              <w:top w:val="single" w:sz="4" w:space="0" w:color="auto"/>
              <w:left w:val="single" w:sz="4" w:space="0" w:color="auto"/>
              <w:bottom w:val="single" w:sz="4" w:space="0" w:color="auto"/>
              <w:right w:val="single" w:sz="4" w:space="0" w:color="auto"/>
            </w:tcBorders>
            <w:vAlign w:val="center"/>
          </w:tcPr>
          <w:p w14:paraId="461CC5A5" w14:textId="77777777" w:rsidR="00D04B45" w:rsidRDefault="00D04B45" w:rsidP="000666A2">
            <w:pPr>
              <w:pStyle w:val="TAL"/>
            </w:pPr>
          </w:p>
        </w:tc>
        <w:tc>
          <w:tcPr>
            <w:tcW w:w="2002" w:type="pct"/>
            <w:tcBorders>
              <w:top w:val="single" w:sz="4" w:space="0" w:color="auto"/>
              <w:left w:val="single" w:sz="4" w:space="0" w:color="auto"/>
              <w:bottom w:val="single" w:sz="4" w:space="0" w:color="auto"/>
              <w:right w:val="single" w:sz="4" w:space="0" w:color="auto"/>
            </w:tcBorders>
          </w:tcPr>
          <w:p w14:paraId="58D736FD" w14:textId="77777777" w:rsidR="00D04B45" w:rsidRDefault="00D04B45" w:rsidP="000666A2">
            <w:pPr>
              <w:pStyle w:val="TAL"/>
              <w:rPr>
                <w:lang w:val="de-DE"/>
              </w:rPr>
            </w:pPr>
            <w:r>
              <w:rPr>
                <w:lang w:val="de-DE"/>
              </w:rPr>
              <w:t>CSI-IM Resource Mapping</w:t>
            </w:r>
          </w:p>
          <w:p w14:paraId="53655EE7" w14:textId="77777777" w:rsidR="00D04B45" w:rsidRDefault="00D04B45" w:rsidP="000666A2">
            <w:pPr>
              <w:pStyle w:val="TAL"/>
              <w:rPr>
                <w:lang w:val="de-DE"/>
              </w:rPr>
            </w:pPr>
            <w:r>
              <w:rPr>
                <w:lang w:val="de-DE"/>
              </w:rPr>
              <w:t>(kCSI-IM,lCSI-IM)</w:t>
            </w:r>
          </w:p>
        </w:tc>
        <w:tc>
          <w:tcPr>
            <w:tcW w:w="354" w:type="pct"/>
            <w:tcBorders>
              <w:top w:val="single" w:sz="4" w:space="0" w:color="auto"/>
              <w:left w:val="single" w:sz="4" w:space="0" w:color="auto"/>
              <w:bottom w:val="single" w:sz="4" w:space="0" w:color="auto"/>
              <w:right w:val="single" w:sz="4" w:space="0" w:color="auto"/>
            </w:tcBorders>
            <w:vAlign w:val="center"/>
          </w:tcPr>
          <w:p w14:paraId="72F69955" w14:textId="77777777" w:rsidR="00D04B45" w:rsidRDefault="00D04B45" w:rsidP="000666A2">
            <w:pPr>
              <w:pStyle w:val="TAL"/>
              <w:rPr>
                <w:lang w:val="de-DE"/>
              </w:rPr>
            </w:pPr>
          </w:p>
        </w:tc>
        <w:tc>
          <w:tcPr>
            <w:tcW w:w="1608" w:type="pct"/>
            <w:tcBorders>
              <w:top w:val="single" w:sz="4" w:space="0" w:color="auto"/>
              <w:left w:val="single" w:sz="4" w:space="0" w:color="auto"/>
              <w:bottom w:val="single" w:sz="4" w:space="0" w:color="auto"/>
              <w:right w:val="single" w:sz="4" w:space="0" w:color="auto"/>
            </w:tcBorders>
            <w:vAlign w:val="center"/>
          </w:tcPr>
          <w:p w14:paraId="796554C7" w14:textId="77777777" w:rsidR="00D04B45" w:rsidRDefault="00D04B45" w:rsidP="000666A2">
            <w:pPr>
              <w:pStyle w:val="TAL"/>
            </w:pPr>
            <w:r>
              <w:t>(4,9)</w:t>
            </w:r>
          </w:p>
        </w:tc>
      </w:tr>
      <w:tr w:rsidR="00D04B45" w14:paraId="58443C22" w14:textId="77777777" w:rsidTr="000666A2">
        <w:trPr>
          <w:trHeight w:val="70"/>
        </w:trPr>
        <w:tc>
          <w:tcPr>
            <w:tcW w:w="1036" w:type="pct"/>
            <w:vMerge/>
            <w:tcBorders>
              <w:top w:val="single" w:sz="4" w:space="0" w:color="auto"/>
              <w:left w:val="single" w:sz="4" w:space="0" w:color="auto"/>
              <w:bottom w:val="single" w:sz="4" w:space="0" w:color="auto"/>
              <w:right w:val="single" w:sz="4" w:space="0" w:color="auto"/>
            </w:tcBorders>
            <w:vAlign w:val="center"/>
          </w:tcPr>
          <w:p w14:paraId="1C904460" w14:textId="77777777" w:rsidR="00D04B45" w:rsidRDefault="00D04B45" w:rsidP="000666A2">
            <w:pPr>
              <w:pStyle w:val="TAL"/>
            </w:pPr>
          </w:p>
        </w:tc>
        <w:tc>
          <w:tcPr>
            <w:tcW w:w="2002" w:type="pct"/>
            <w:tcBorders>
              <w:top w:val="single" w:sz="4" w:space="0" w:color="auto"/>
              <w:left w:val="single" w:sz="4" w:space="0" w:color="auto"/>
              <w:bottom w:val="single" w:sz="4" w:space="0" w:color="auto"/>
              <w:right w:val="single" w:sz="4" w:space="0" w:color="auto"/>
            </w:tcBorders>
          </w:tcPr>
          <w:p w14:paraId="659BCF12" w14:textId="77777777" w:rsidR="00D04B45" w:rsidRPr="00D04B45" w:rsidRDefault="00D04B45" w:rsidP="000666A2">
            <w:pPr>
              <w:pStyle w:val="TAL"/>
              <w:rPr>
                <w:lang w:val="en-US"/>
              </w:rPr>
            </w:pPr>
            <w:r w:rsidRPr="00D04B45">
              <w:rPr>
                <w:lang w:val="en-US"/>
              </w:rPr>
              <w:t>CSI-IM timeConfig-periodicity and offset</w:t>
            </w:r>
          </w:p>
        </w:tc>
        <w:tc>
          <w:tcPr>
            <w:tcW w:w="354" w:type="pct"/>
            <w:tcBorders>
              <w:top w:val="single" w:sz="4" w:space="0" w:color="auto"/>
              <w:left w:val="single" w:sz="4" w:space="0" w:color="auto"/>
              <w:bottom w:val="single" w:sz="4" w:space="0" w:color="auto"/>
              <w:right w:val="single" w:sz="4" w:space="0" w:color="auto"/>
            </w:tcBorders>
            <w:vAlign w:val="center"/>
          </w:tcPr>
          <w:p w14:paraId="2563C839" w14:textId="77777777" w:rsidR="00D04B45" w:rsidRDefault="00D04B45" w:rsidP="000666A2">
            <w:pPr>
              <w:pStyle w:val="TAL"/>
            </w:pPr>
            <w:r>
              <w:t>slot</w:t>
            </w:r>
          </w:p>
        </w:tc>
        <w:tc>
          <w:tcPr>
            <w:tcW w:w="1608" w:type="pct"/>
            <w:tcBorders>
              <w:top w:val="single" w:sz="4" w:space="0" w:color="auto"/>
              <w:left w:val="single" w:sz="4" w:space="0" w:color="auto"/>
              <w:bottom w:val="single" w:sz="4" w:space="0" w:color="auto"/>
              <w:right w:val="single" w:sz="4" w:space="0" w:color="auto"/>
            </w:tcBorders>
            <w:vAlign w:val="center"/>
          </w:tcPr>
          <w:p w14:paraId="0004EEA7" w14:textId="77777777" w:rsidR="00D04B45" w:rsidRDefault="00D04B45" w:rsidP="000666A2">
            <w:pPr>
              <w:pStyle w:val="TAL"/>
            </w:pPr>
            <w:r>
              <w:t>10/1</w:t>
            </w:r>
          </w:p>
        </w:tc>
      </w:tr>
      <w:tr w:rsidR="00D04B45" w14:paraId="03E7A0B9"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4CC3B86C" w14:textId="77777777" w:rsidR="00D04B45" w:rsidRDefault="00D04B45" w:rsidP="000666A2">
            <w:pPr>
              <w:pStyle w:val="TAL"/>
            </w:pPr>
            <w:r>
              <w:t>ReportConfigType</w:t>
            </w:r>
          </w:p>
        </w:tc>
        <w:tc>
          <w:tcPr>
            <w:tcW w:w="354" w:type="pct"/>
            <w:tcBorders>
              <w:top w:val="single" w:sz="4" w:space="0" w:color="auto"/>
              <w:left w:val="single" w:sz="4" w:space="0" w:color="auto"/>
              <w:bottom w:val="single" w:sz="4" w:space="0" w:color="auto"/>
              <w:right w:val="single" w:sz="4" w:space="0" w:color="auto"/>
            </w:tcBorders>
            <w:vAlign w:val="center"/>
          </w:tcPr>
          <w:p w14:paraId="0B86E74C"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5163FCD7" w14:textId="77777777" w:rsidR="00D04B45" w:rsidRDefault="00D04B45" w:rsidP="000666A2">
            <w:pPr>
              <w:pStyle w:val="TAL"/>
            </w:pPr>
            <w:r>
              <w:t>Periodic</w:t>
            </w:r>
          </w:p>
        </w:tc>
      </w:tr>
      <w:tr w:rsidR="00D04B45" w14:paraId="5D77BFEB"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680D79CC" w14:textId="77777777" w:rsidR="00D04B45" w:rsidRDefault="00D04B45" w:rsidP="000666A2">
            <w:pPr>
              <w:pStyle w:val="TAL"/>
            </w:pPr>
            <w:r>
              <w:t>CQI-table (Note 3)</w:t>
            </w:r>
          </w:p>
        </w:tc>
        <w:tc>
          <w:tcPr>
            <w:tcW w:w="354" w:type="pct"/>
            <w:tcBorders>
              <w:top w:val="single" w:sz="4" w:space="0" w:color="auto"/>
              <w:left w:val="single" w:sz="4" w:space="0" w:color="auto"/>
              <w:bottom w:val="single" w:sz="4" w:space="0" w:color="auto"/>
              <w:right w:val="single" w:sz="4" w:space="0" w:color="auto"/>
            </w:tcBorders>
            <w:vAlign w:val="center"/>
          </w:tcPr>
          <w:p w14:paraId="680687D6"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5D95F8D4" w14:textId="77777777" w:rsidR="00D04B45" w:rsidRDefault="00D04B45" w:rsidP="000666A2">
            <w:pPr>
              <w:pStyle w:val="TAL"/>
            </w:pPr>
            <w:r>
              <w:t>Table 2</w:t>
            </w:r>
          </w:p>
        </w:tc>
      </w:tr>
      <w:tr w:rsidR="00D04B45" w14:paraId="0C888038"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560A9195" w14:textId="77777777" w:rsidR="00D04B45" w:rsidRDefault="00D04B45" w:rsidP="000666A2">
            <w:pPr>
              <w:pStyle w:val="TAL"/>
            </w:pPr>
            <w:r>
              <w:t>reportQuantity</w:t>
            </w:r>
          </w:p>
        </w:tc>
        <w:tc>
          <w:tcPr>
            <w:tcW w:w="354" w:type="pct"/>
            <w:tcBorders>
              <w:top w:val="single" w:sz="4" w:space="0" w:color="auto"/>
              <w:left w:val="single" w:sz="4" w:space="0" w:color="auto"/>
              <w:bottom w:val="single" w:sz="4" w:space="0" w:color="auto"/>
              <w:right w:val="single" w:sz="4" w:space="0" w:color="auto"/>
            </w:tcBorders>
            <w:vAlign w:val="center"/>
          </w:tcPr>
          <w:p w14:paraId="6E7FDA97"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39F1CE6A" w14:textId="77777777" w:rsidR="00D04B45" w:rsidRDefault="00D04B45" w:rsidP="000666A2">
            <w:pPr>
              <w:pStyle w:val="TAL"/>
            </w:pPr>
            <w:r>
              <w:t>cri-RI-PMI-CQI</w:t>
            </w:r>
          </w:p>
        </w:tc>
      </w:tr>
      <w:tr w:rsidR="00D04B45" w14:paraId="5A4CE0EE"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6BAB914C" w14:textId="77777777" w:rsidR="00D04B45" w:rsidRDefault="00D04B45" w:rsidP="000666A2">
            <w:pPr>
              <w:pStyle w:val="TAL"/>
            </w:pPr>
            <w:r>
              <w:t>timeRestrictionForChannelMeasurements</w:t>
            </w:r>
          </w:p>
        </w:tc>
        <w:tc>
          <w:tcPr>
            <w:tcW w:w="354" w:type="pct"/>
            <w:tcBorders>
              <w:top w:val="single" w:sz="4" w:space="0" w:color="auto"/>
              <w:left w:val="single" w:sz="4" w:space="0" w:color="auto"/>
              <w:bottom w:val="single" w:sz="4" w:space="0" w:color="auto"/>
              <w:right w:val="single" w:sz="4" w:space="0" w:color="auto"/>
            </w:tcBorders>
            <w:vAlign w:val="center"/>
          </w:tcPr>
          <w:p w14:paraId="2FF21037"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7464CE57" w14:textId="77777777" w:rsidR="00D04B45" w:rsidRDefault="00D04B45" w:rsidP="000666A2">
            <w:pPr>
              <w:pStyle w:val="TAL"/>
            </w:pPr>
            <w:r>
              <w:t>not configured</w:t>
            </w:r>
          </w:p>
        </w:tc>
      </w:tr>
      <w:tr w:rsidR="00D04B45" w14:paraId="7A888EB5"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525DF815" w14:textId="77777777" w:rsidR="00D04B45" w:rsidRDefault="00D04B45" w:rsidP="000666A2">
            <w:pPr>
              <w:pStyle w:val="TAL"/>
            </w:pPr>
            <w:r>
              <w:t>timeRestrictionForInterferenceMeasurements</w:t>
            </w:r>
          </w:p>
        </w:tc>
        <w:tc>
          <w:tcPr>
            <w:tcW w:w="354" w:type="pct"/>
            <w:tcBorders>
              <w:top w:val="single" w:sz="4" w:space="0" w:color="auto"/>
              <w:left w:val="single" w:sz="4" w:space="0" w:color="auto"/>
              <w:bottom w:val="single" w:sz="4" w:space="0" w:color="auto"/>
              <w:right w:val="single" w:sz="4" w:space="0" w:color="auto"/>
            </w:tcBorders>
            <w:vAlign w:val="center"/>
          </w:tcPr>
          <w:p w14:paraId="7A030D80"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6229D977" w14:textId="77777777" w:rsidR="00D04B45" w:rsidRDefault="00D04B45" w:rsidP="000666A2">
            <w:pPr>
              <w:pStyle w:val="TAL"/>
            </w:pPr>
            <w:r>
              <w:t>not configured</w:t>
            </w:r>
          </w:p>
        </w:tc>
      </w:tr>
      <w:tr w:rsidR="00D04B45" w14:paraId="7F62D5C9"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63D7A5D8" w14:textId="77777777" w:rsidR="00D04B45" w:rsidRDefault="00D04B45" w:rsidP="000666A2">
            <w:pPr>
              <w:pStyle w:val="TAL"/>
            </w:pPr>
            <w:r>
              <w:t>cqi-FormatIndicator</w:t>
            </w:r>
          </w:p>
        </w:tc>
        <w:tc>
          <w:tcPr>
            <w:tcW w:w="354" w:type="pct"/>
            <w:tcBorders>
              <w:top w:val="single" w:sz="4" w:space="0" w:color="auto"/>
              <w:left w:val="single" w:sz="4" w:space="0" w:color="auto"/>
              <w:bottom w:val="single" w:sz="4" w:space="0" w:color="auto"/>
              <w:right w:val="single" w:sz="4" w:space="0" w:color="auto"/>
            </w:tcBorders>
            <w:vAlign w:val="center"/>
          </w:tcPr>
          <w:p w14:paraId="6302457B"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69305CBE" w14:textId="77777777" w:rsidR="00D04B45" w:rsidRDefault="00D04B45" w:rsidP="000666A2">
            <w:pPr>
              <w:pStyle w:val="TAL"/>
            </w:pPr>
            <w:r>
              <w:t>Wideband</w:t>
            </w:r>
          </w:p>
        </w:tc>
      </w:tr>
      <w:tr w:rsidR="00D04B45" w14:paraId="491E7B09"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0DB08E63" w14:textId="77777777" w:rsidR="00D04B45" w:rsidRDefault="00D04B45" w:rsidP="000666A2">
            <w:pPr>
              <w:pStyle w:val="TAL"/>
            </w:pPr>
            <w:r>
              <w:t>pmi-FormatIndicator</w:t>
            </w:r>
          </w:p>
        </w:tc>
        <w:tc>
          <w:tcPr>
            <w:tcW w:w="354" w:type="pct"/>
            <w:tcBorders>
              <w:top w:val="single" w:sz="4" w:space="0" w:color="auto"/>
              <w:left w:val="single" w:sz="4" w:space="0" w:color="auto"/>
              <w:bottom w:val="single" w:sz="4" w:space="0" w:color="auto"/>
              <w:right w:val="single" w:sz="4" w:space="0" w:color="auto"/>
            </w:tcBorders>
            <w:vAlign w:val="center"/>
          </w:tcPr>
          <w:p w14:paraId="495323F0"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15967BF7" w14:textId="77777777" w:rsidR="00D04B45" w:rsidRDefault="00D04B45" w:rsidP="000666A2">
            <w:pPr>
              <w:pStyle w:val="TAL"/>
            </w:pPr>
            <w:r>
              <w:t>Wideband</w:t>
            </w:r>
          </w:p>
        </w:tc>
      </w:tr>
      <w:tr w:rsidR="00D04B45" w14:paraId="190EF38D"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3162ECF9" w14:textId="77777777" w:rsidR="00D04B45" w:rsidRDefault="00D04B45" w:rsidP="000666A2">
            <w:pPr>
              <w:pStyle w:val="TAL"/>
            </w:pPr>
            <w:r>
              <w:t>Sub-band Size</w:t>
            </w:r>
          </w:p>
        </w:tc>
        <w:tc>
          <w:tcPr>
            <w:tcW w:w="354" w:type="pct"/>
            <w:tcBorders>
              <w:top w:val="single" w:sz="4" w:space="0" w:color="auto"/>
              <w:left w:val="single" w:sz="4" w:space="0" w:color="auto"/>
              <w:bottom w:val="single" w:sz="4" w:space="0" w:color="auto"/>
              <w:right w:val="single" w:sz="4" w:space="0" w:color="auto"/>
            </w:tcBorders>
            <w:vAlign w:val="center"/>
          </w:tcPr>
          <w:p w14:paraId="3B29EB18" w14:textId="77777777" w:rsidR="00D04B45" w:rsidRDefault="00D04B45" w:rsidP="000666A2">
            <w:pPr>
              <w:pStyle w:val="TAL"/>
            </w:pPr>
            <w:r>
              <w:t>RB</w:t>
            </w:r>
          </w:p>
        </w:tc>
        <w:tc>
          <w:tcPr>
            <w:tcW w:w="1608" w:type="pct"/>
            <w:tcBorders>
              <w:top w:val="single" w:sz="4" w:space="0" w:color="auto"/>
              <w:left w:val="single" w:sz="4" w:space="0" w:color="auto"/>
              <w:bottom w:val="single" w:sz="4" w:space="0" w:color="auto"/>
              <w:right w:val="single" w:sz="4" w:space="0" w:color="auto"/>
            </w:tcBorders>
            <w:vAlign w:val="center"/>
          </w:tcPr>
          <w:p w14:paraId="522CBB01" w14:textId="77777777" w:rsidR="00D04B45" w:rsidRDefault="00D04B45" w:rsidP="000666A2">
            <w:pPr>
              <w:pStyle w:val="TAL"/>
            </w:pPr>
            <w:r>
              <w:t>16</w:t>
            </w:r>
          </w:p>
        </w:tc>
      </w:tr>
      <w:tr w:rsidR="00D04B45" w14:paraId="78B72F6C"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6DA2280F" w14:textId="77777777" w:rsidR="00D04B45" w:rsidRDefault="00D04B45" w:rsidP="000666A2">
            <w:pPr>
              <w:pStyle w:val="TAL"/>
            </w:pPr>
            <w:r>
              <w:t>csi-ReportingBand</w:t>
            </w:r>
          </w:p>
        </w:tc>
        <w:tc>
          <w:tcPr>
            <w:tcW w:w="354" w:type="pct"/>
            <w:tcBorders>
              <w:top w:val="single" w:sz="4" w:space="0" w:color="auto"/>
              <w:left w:val="single" w:sz="4" w:space="0" w:color="auto"/>
              <w:bottom w:val="single" w:sz="4" w:space="0" w:color="auto"/>
              <w:right w:val="single" w:sz="4" w:space="0" w:color="auto"/>
            </w:tcBorders>
            <w:vAlign w:val="center"/>
          </w:tcPr>
          <w:p w14:paraId="00E7BE5D"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557EB373" w14:textId="77777777" w:rsidR="00D04B45" w:rsidRDefault="00D04B45" w:rsidP="000666A2">
            <w:pPr>
              <w:pStyle w:val="TAL"/>
            </w:pPr>
            <w:r>
              <w:t>1111111</w:t>
            </w:r>
          </w:p>
        </w:tc>
      </w:tr>
      <w:tr w:rsidR="00D04B45" w14:paraId="61F22A1C"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26A33613" w14:textId="77777777" w:rsidR="00D04B45" w:rsidRPr="00D04B45" w:rsidRDefault="00D04B45" w:rsidP="000666A2">
            <w:pPr>
              <w:pStyle w:val="TAL"/>
              <w:rPr>
                <w:lang w:val="en-US"/>
              </w:rPr>
            </w:pPr>
            <w:r w:rsidRPr="00D04B45">
              <w:rPr>
                <w:lang w:val="en-US"/>
              </w:rPr>
              <w:t>CSI-Report periodicity and offset</w:t>
            </w:r>
          </w:p>
        </w:tc>
        <w:tc>
          <w:tcPr>
            <w:tcW w:w="354" w:type="pct"/>
            <w:tcBorders>
              <w:top w:val="single" w:sz="4" w:space="0" w:color="auto"/>
              <w:left w:val="single" w:sz="4" w:space="0" w:color="auto"/>
              <w:bottom w:val="single" w:sz="4" w:space="0" w:color="auto"/>
              <w:right w:val="single" w:sz="4" w:space="0" w:color="auto"/>
            </w:tcBorders>
            <w:vAlign w:val="center"/>
          </w:tcPr>
          <w:p w14:paraId="5E5E49D9" w14:textId="77777777" w:rsidR="00D04B45" w:rsidRDefault="00D04B45" w:rsidP="000666A2">
            <w:pPr>
              <w:pStyle w:val="TAL"/>
            </w:pPr>
            <w:r>
              <w:t>slot</w:t>
            </w:r>
          </w:p>
        </w:tc>
        <w:tc>
          <w:tcPr>
            <w:tcW w:w="1608" w:type="pct"/>
            <w:tcBorders>
              <w:top w:val="single" w:sz="4" w:space="0" w:color="auto"/>
              <w:left w:val="single" w:sz="4" w:space="0" w:color="auto"/>
              <w:bottom w:val="single" w:sz="4" w:space="0" w:color="auto"/>
              <w:right w:val="single" w:sz="4" w:space="0" w:color="auto"/>
            </w:tcBorders>
            <w:vAlign w:val="center"/>
          </w:tcPr>
          <w:p w14:paraId="6243E697" w14:textId="77777777" w:rsidR="00D04B45" w:rsidRDefault="00D04B45" w:rsidP="000666A2">
            <w:pPr>
              <w:pStyle w:val="TAL"/>
            </w:pPr>
            <w:r>
              <w:t>10/9</w:t>
            </w:r>
          </w:p>
        </w:tc>
      </w:tr>
      <w:tr w:rsidR="00D04B45" w14:paraId="05F56113" w14:textId="77777777" w:rsidTr="000666A2">
        <w:trPr>
          <w:trHeight w:val="70"/>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22466CA9" w14:textId="77777777" w:rsidR="00D04B45" w:rsidRDefault="00D04B45" w:rsidP="000666A2">
            <w:pPr>
              <w:pStyle w:val="TAL"/>
            </w:pPr>
            <w:r>
              <w:t>Codebook configuration</w:t>
            </w:r>
          </w:p>
        </w:tc>
        <w:tc>
          <w:tcPr>
            <w:tcW w:w="2002" w:type="pct"/>
            <w:tcBorders>
              <w:top w:val="single" w:sz="4" w:space="0" w:color="auto"/>
              <w:left w:val="single" w:sz="4" w:space="0" w:color="auto"/>
              <w:bottom w:val="single" w:sz="4" w:space="0" w:color="auto"/>
              <w:right w:val="single" w:sz="4" w:space="0" w:color="auto"/>
            </w:tcBorders>
          </w:tcPr>
          <w:p w14:paraId="02C345DF" w14:textId="77777777" w:rsidR="00D04B45" w:rsidRDefault="00D04B45" w:rsidP="000666A2">
            <w:pPr>
              <w:pStyle w:val="TAL"/>
            </w:pPr>
            <w:r>
              <w:t>Codebook Type</w:t>
            </w:r>
          </w:p>
        </w:tc>
        <w:tc>
          <w:tcPr>
            <w:tcW w:w="354" w:type="pct"/>
            <w:tcBorders>
              <w:top w:val="single" w:sz="4" w:space="0" w:color="auto"/>
              <w:left w:val="single" w:sz="4" w:space="0" w:color="auto"/>
              <w:bottom w:val="single" w:sz="4" w:space="0" w:color="auto"/>
              <w:right w:val="single" w:sz="4" w:space="0" w:color="auto"/>
            </w:tcBorders>
            <w:vAlign w:val="center"/>
          </w:tcPr>
          <w:p w14:paraId="185C3183"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23E43C98" w14:textId="77777777" w:rsidR="00D04B45" w:rsidRDefault="00D04B45" w:rsidP="000666A2">
            <w:pPr>
              <w:pStyle w:val="TAL"/>
            </w:pPr>
            <w:r>
              <w:t>typeI-SinglePanel</w:t>
            </w:r>
          </w:p>
        </w:tc>
      </w:tr>
      <w:tr w:rsidR="00D04B45" w14:paraId="4CF11EDC" w14:textId="77777777" w:rsidTr="000666A2">
        <w:trPr>
          <w:trHeight w:val="70"/>
        </w:trPr>
        <w:tc>
          <w:tcPr>
            <w:tcW w:w="1036" w:type="pct"/>
            <w:vMerge/>
            <w:tcBorders>
              <w:top w:val="single" w:sz="4" w:space="0" w:color="auto"/>
              <w:left w:val="single" w:sz="4" w:space="0" w:color="auto"/>
              <w:bottom w:val="single" w:sz="4" w:space="0" w:color="auto"/>
              <w:right w:val="single" w:sz="4" w:space="0" w:color="auto"/>
            </w:tcBorders>
            <w:vAlign w:val="center"/>
          </w:tcPr>
          <w:p w14:paraId="3199BED0" w14:textId="77777777" w:rsidR="00D04B45" w:rsidRDefault="00D04B45" w:rsidP="000666A2">
            <w:pPr>
              <w:pStyle w:val="TAL"/>
            </w:pPr>
          </w:p>
        </w:tc>
        <w:tc>
          <w:tcPr>
            <w:tcW w:w="2002" w:type="pct"/>
            <w:tcBorders>
              <w:top w:val="single" w:sz="4" w:space="0" w:color="auto"/>
              <w:left w:val="single" w:sz="4" w:space="0" w:color="auto"/>
              <w:bottom w:val="single" w:sz="4" w:space="0" w:color="auto"/>
              <w:right w:val="single" w:sz="4" w:space="0" w:color="auto"/>
            </w:tcBorders>
          </w:tcPr>
          <w:p w14:paraId="723A1224" w14:textId="77777777" w:rsidR="00D04B45" w:rsidRDefault="00D04B45" w:rsidP="000666A2">
            <w:pPr>
              <w:pStyle w:val="TAL"/>
            </w:pPr>
            <w:r>
              <w:t>Codebook Mode</w:t>
            </w:r>
          </w:p>
        </w:tc>
        <w:tc>
          <w:tcPr>
            <w:tcW w:w="354" w:type="pct"/>
            <w:tcBorders>
              <w:top w:val="single" w:sz="4" w:space="0" w:color="auto"/>
              <w:left w:val="single" w:sz="4" w:space="0" w:color="auto"/>
              <w:bottom w:val="single" w:sz="4" w:space="0" w:color="auto"/>
              <w:right w:val="single" w:sz="4" w:space="0" w:color="auto"/>
            </w:tcBorders>
            <w:vAlign w:val="center"/>
          </w:tcPr>
          <w:p w14:paraId="38D6F474"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296CC5E8" w14:textId="77777777" w:rsidR="00D04B45" w:rsidRDefault="00D04B45" w:rsidP="000666A2">
            <w:pPr>
              <w:pStyle w:val="TAL"/>
            </w:pPr>
            <w:r>
              <w:t>1</w:t>
            </w:r>
          </w:p>
        </w:tc>
      </w:tr>
      <w:tr w:rsidR="00D04B45" w14:paraId="3EA2A202" w14:textId="77777777" w:rsidTr="000666A2">
        <w:trPr>
          <w:trHeight w:val="70"/>
        </w:trPr>
        <w:tc>
          <w:tcPr>
            <w:tcW w:w="1036" w:type="pct"/>
            <w:vMerge/>
            <w:tcBorders>
              <w:top w:val="single" w:sz="4" w:space="0" w:color="auto"/>
              <w:left w:val="single" w:sz="4" w:space="0" w:color="auto"/>
              <w:bottom w:val="single" w:sz="4" w:space="0" w:color="auto"/>
              <w:right w:val="single" w:sz="4" w:space="0" w:color="auto"/>
            </w:tcBorders>
            <w:vAlign w:val="center"/>
          </w:tcPr>
          <w:p w14:paraId="5939C5FF" w14:textId="77777777" w:rsidR="00D04B45" w:rsidRDefault="00D04B45" w:rsidP="000666A2">
            <w:pPr>
              <w:pStyle w:val="TAL"/>
            </w:pPr>
          </w:p>
        </w:tc>
        <w:tc>
          <w:tcPr>
            <w:tcW w:w="2002" w:type="pct"/>
            <w:tcBorders>
              <w:top w:val="single" w:sz="4" w:space="0" w:color="auto"/>
              <w:left w:val="single" w:sz="4" w:space="0" w:color="auto"/>
              <w:bottom w:val="single" w:sz="4" w:space="0" w:color="auto"/>
              <w:right w:val="single" w:sz="4" w:space="0" w:color="auto"/>
            </w:tcBorders>
          </w:tcPr>
          <w:p w14:paraId="186DACF1" w14:textId="77777777" w:rsidR="00D04B45" w:rsidRDefault="00D04B45" w:rsidP="000666A2">
            <w:pPr>
              <w:pStyle w:val="TAL"/>
            </w:pPr>
            <w:r>
              <w:t>(CodebookConfig-N1, CodebookConfig-N2)</w:t>
            </w:r>
          </w:p>
        </w:tc>
        <w:tc>
          <w:tcPr>
            <w:tcW w:w="354" w:type="pct"/>
            <w:tcBorders>
              <w:top w:val="single" w:sz="4" w:space="0" w:color="auto"/>
              <w:left w:val="single" w:sz="4" w:space="0" w:color="auto"/>
              <w:bottom w:val="single" w:sz="4" w:space="0" w:color="auto"/>
              <w:right w:val="single" w:sz="4" w:space="0" w:color="auto"/>
            </w:tcBorders>
            <w:vAlign w:val="center"/>
          </w:tcPr>
          <w:p w14:paraId="42906335"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383AB0EF" w14:textId="77777777" w:rsidR="00D04B45" w:rsidRDefault="00D04B45" w:rsidP="000666A2">
            <w:pPr>
              <w:pStyle w:val="TAL"/>
            </w:pPr>
            <w:r>
              <w:t>2-1</w:t>
            </w:r>
          </w:p>
        </w:tc>
      </w:tr>
      <w:tr w:rsidR="00D04B45" w14:paraId="46538063" w14:textId="77777777" w:rsidTr="000666A2">
        <w:trPr>
          <w:trHeight w:val="70"/>
        </w:trPr>
        <w:tc>
          <w:tcPr>
            <w:tcW w:w="1036" w:type="pct"/>
            <w:vMerge/>
            <w:tcBorders>
              <w:top w:val="single" w:sz="4" w:space="0" w:color="auto"/>
              <w:left w:val="single" w:sz="4" w:space="0" w:color="auto"/>
              <w:bottom w:val="single" w:sz="4" w:space="0" w:color="auto"/>
              <w:right w:val="single" w:sz="4" w:space="0" w:color="auto"/>
            </w:tcBorders>
            <w:vAlign w:val="center"/>
          </w:tcPr>
          <w:p w14:paraId="002DF0C3" w14:textId="77777777" w:rsidR="00D04B45" w:rsidRDefault="00D04B45" w:rsidP="000666A2">
            <w:pPr>
              <w:pStyle w:val="TAL"/>
            </w:pPr>
          </w:p>
        </w:tc>
        <w:tc>
          <w:tcPr>
            <w:tcW w:w="2002" w:type="pct"/>
            <w:tcBorders>
              <w:top w:val="single" w:sz="4" w:space="0" w:color="auto"/>
              <w:left w:val="single" w:sz="4" w:space="0" w:color="auto"/>
              <w:bottom w:val="single" w:sz="4" w:space="0" w:color="auto"/>
              <w:right w:val="single" w:sz="4" w:space="0" w:color="auto"/>
            </w:tcBorders>
          </w:tcPr>
          <w:p w14:paraId="7D7A07A2" w14:textId="77777777" w:rsidR="00D04B45" w:rsidRDefault="00D04B45" w:rsidP="000666A2">
            <w:pPr>
              <w:pStyle w:val="TAL"/>
            </w:pPr>
            <w:r>
              <w:t>CodebookSubsetRestriction</w:t>
            </w:r>
          </w:p>
        </w:tc>
        <w:tc>
          <w:tcPr>
            <w:tcW w:w="354" w:type="pct"/>
            <w:tcBorders>
              <w:top w:val="single" w:sz="4" w:space="0" w:color="auto"/>
              <w:left w:val="single" w:sz="4" w:space="0" w:color="auto"/>
              <w:bottom w:val="single" w:sz="4" w:space="0" w:color="auto"/>
              <w:right w:val="single" w:sz="4" w:space="0" w:color="auto"/>
            </w:tcBorders>
            <w:vAlign w:val="center"/>
          </w:tcPr>
          <w:p w14:paraId="4D83C4CB"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53217A09" w14:textId="77777777" w:rsidR="00D04B45" w:rsidRDefault="00D04B45" w:rsidP="000666A2">
            <w:pPr>
              <w:pStyle w:val="TAL"/>
            </w:pPr>
            <w:r>
              <w:t>11111111</w:t>
            </w:r>
          </w:p>
        </w:tc>
      </w:tr>
      <w:tr w:rsidR="00D04B45" w14:paraId="124F28B2" w14:textId="77777777" w:rsidTr="000666A2">
        <w:trPr>
          <w:trHeight w:val="70"/>
        </w:trPr>
        <w:tc>
          <w:tcPr>
            <w:tcW w:w="1036" w:type="pct"/>
            <w:vMerge/>
            <w:tcBorders>
              <w:top w:val="single" w:sz="4" w:space="0" w:color="auto"/>
              <w:left w:val="single" w:sz="4" w:space="0" w:color="auto"/>
              <w:bottom w:val="single" w:sz="4" w:space="0" w:color="auto"/>
              <w:right w:val="single" w:sz="4" w:space="0" w:color="auto"/>
            </w:tcBorders>
            <w:vAlign w:val="center"/>
          </w:tcPr>
          <w:p w14:paraId="0C713CFF" w14:textId="77777777" w:rsidR="00D04B45" w:rsidRDefault="00D04B45" w:rsidP="000666A2">
            <w:pPr>
              <w:pStyle w:val="TAL"/>
            </w:pPr>
          </w:p>
        </w:tc>
        <w:tc>
          <w:tcPr>
            <w:tcW w:w="2002" w:type="pct"/>
            <w:tcBorders>
              <w:top w:val="single" w:sz="4" w:space="0" w:color="auto"/>
              <w:left w:val="single" w:sz="4" w:space="0" w:color="auto"/>
              <w:bottom w:val="single" w:sz="4" w:space="0" w:color="auto"/>
              <w:right w:val="single" w:sz="4" w:space="0" w:color="auto"/>
            </w:tcBorders>
          </w:tcPr>
          <w:p w14:paraId="6F3DACBE" w14:textId="77777777" w:rsidR="00D04B45" w:rsidRDefault="00D04B45" w:rsidP="000666A2">
            <w:pPr>
              <w:pStyle w:val="TAL"/>
            </w:pPr>
            <w:r>
              <w:t>RI Restriction</w:t>
            </w:r>
          </w:p>
        </w:tc>
        <w:tc>
          <w:tcPr>
            <w:tcW w:w="354" w:type="pct"/>
            <w:tcBorders>
              <w:top w:val="single" w:sz="4" w:space="0" w:color="auto"/>
              <w:left w:val="single" w:sz="4" w:space="0" w:color="auto"/>
              <w:bottom w:val="single" w:sz="4" w:space="0" w:color="auto"/>
              <w:right w:val="single" w:sz="4" w:space="0" w:color="auto"/>
            </w:tcBorders>
            <w:vAlign w:val="center"/>
          </w:tcPr>
          <w:p w14:paraId="2C18F860" w14:textId="77777777" w:rsidR="00D04B45" w:rsidRDefault="00D04B45" w:rsidP="000666A2">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54FD3E62" w14:textId="77777777" w:rsidR="00D04B45" w:rsidRDefault="00D04B45" w:rsidP="000666A2">
            <w:pPr>
              <w:pStyle w:val="TAL"/>
            </w:pPr>
            <w:r>
              <w:t>00001111 for follow RI</w:t>
            </w:r>
          </w:p>
        </w:tc>
      </w:tr>
      <w:tr w:rsidR="00D04B45" w14:paraId="5A71FB4E"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tcPr>
          <w:p w14:paraId="01D8E825" w14:textId="77777777" w:rsidR="00D04B45" w:rsidRPr="00D04B45" w:rsidRDefault="00D04B45" w:rsidP="000666A2">
            <w:pPr>
              <w:pStyle w:val="TAL"/>
              <w:rPr>
                <w:lang w:val="en-US"/>
              </w:rPr>
            </w:pPr>
            <w:r w:rsidRPr="00D04B45">
              <w:rPr>
                <w:lang w:val="en-US"/>
              </w:rPr>
              <w:t>Physical channel for CSI report</w:t>
            </w:r>
          </w:p>
        </w:tc>
        <w:tc>
          <w:tcPr>
            <w:tcW w:w="354" w:type="pct"/>
            <w:tcBorders>
              <w:top w:val="single" w:sz="4" w:space="0" w:color="auto"/>
              <w:left w:val="single" w:sz="4" w:space="0" w:color="auto"/>
              <w:bottom w:val="single" w:sz="4" w:space="0" w:color="auto"/>
              <w:right w:val="single" w:sz="4" w:space="0" w:color="auto"/>
            </w:tcBorders>
            <w:vAlign w:val="center"/>
          </w:tcPr>
          <w:p w14:paraId="794E7EBF" w14:textId="77777777" w:rsidR="00D04B45" w:rsidRPr="00D04B45" w:rsidRDefault="00D04B45" w:rsidP="000666A2">
            <w:pPr>
              <w:pStyle w:val="TAL"/>
              <w:rPr>
                <w:lang w:val="en-US"/>
              </w:rPr>
            </w:pPr>
          </w:p>
        </w:tc>
        <w:tc>
          <w:tcPr>
            <w:tcW w:w="1608" w:type="pct"/>
            <w:tcBorders>
              <w:top w:val="single" w:sz="4" w:space="0" w:color="auto"/>
              <w:left w:val="single" w:sz="4" w:space="0" w:color="auto"/>
              <w:bottom w:val="single" w:sz="4" w:space="0" w:color="auto"/>
              <w:right w:val="single" w:sz="4" w:space="0" w:color="auto"/>
            </w:tcBorders>
            <w:vAlign w:val="center"/>
          </w:tcPr>
          <w:p w14:paraId="53616524" w14:textId="77777777" w:rsidR="00D04B45" w:rsidRDefault="00D04B45" w:rsidP="000666A2">
            <w:pPr>
              <w:pStyle w:val="TAL"/>
            </w:pPr>
            <w:r>
              <w:t>PUCCH</w:t>
            </w:r>
          </w:p>
        </w:tc>
      </w:tr>
      <w:tr w:rsidR="00D04B45" w14:paraId="39409AA4"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61C2C862" w14:textId="77777777" w:rsidR="00D04B45" w:rsidRPr="00D04B45" w:rsidRDefault="00D04B45" w:rsidP="000666A2">
            <w:pPr>
              <w:pStyle w:val="TAL"/>
              <w:rPr>
                <w:lang w:val="en-US"/>
              </w:rPr>
            </w:pPr>
            <w:r w:rsidRPr="00D04B45">
              <w:rPr>
                <w:lang w:val="en-US"/>
              </w:rPr>
              <w:t>CQI/RI/PMI delay (Note 2)</w:t>
            </w:r>
          </w:p>
        </w:tc>
        <w:tc>
          <w:tcPr>
            <w:tcW w:w="354" w:type="pct"/>
            <w:tcBorders>
              <w:top w:val="single" w:sz="4" w:space="0" w:color="auto"/>
              <w:left w:val="single" w:sz="4" w:space="0" w:color="auto"/>
              <w:bottom w:val="single" w:sz="4" w:space="0" w:color="auto"/>
              <w:right w:val="single" w:sz="4" w:space="0" w:color="auto"/>
            </w:tcBorders>
            <w:vAlign w:val="center"/>
          </w:tcPr>
          <w:p w14:paraId="088E4AC5" w14:textId="77777777" w:rsidR="00D04B45" w:rsidRDefault="00D04B45" w:rsidP="000666A2">
            <w:pPr>
              <w:pStyle w:val="TAL"/>
            </w:pPr>
            <w:r>
              <w:t>ms</w:t>
            </w:r>
          </w:p>
        </w:tc>
        <w:tc>
          <w:tcPr>
            <w:tcW w:w="1608" w:type="pct"/>
            <w:tcBorders>
              <w:top w:val="single" w:sz="4" w:space="0" w:color="auto"/>
              <w:left w:val="single" w:sz="4" w:space="0" w:color="auto"/>
              <w:bottom w:val="single" w:sz="4" w:space="0" w:color="auto"/>
              <w:right w:val="single" w:sz="4" w:space="0" w:color="auto"/>
            </w:tcBorders>
            <w:vAlign w:val="center"/>
          </w:tcPr>
          <w:p w14:paraId="55D72202" w14:textId="77777777" w:rsidR="00D04B45" w:rsidRDefault="00D04B45" w:rsidP="000666A2">
            <w:pPr>
              <w:pStyle w:val="TAL"/>
            </w:pPr>
            <w:r>
              <w:t xml:space="preserve">9.5 </w:t>
            </w:r>
          </w:p>
        </w:tc>
      </w:tr>
      <w:tr w:rsidR="00D04B45" w14:paraId="46FF405C" w14:textId="77777777" w:rsidTr="000666A2">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tcPr>
          <w:p w14:paraId="7E795F57" w14:textId="77777777" w:rsidR="00D04B45" w:rsidRPr="00D04B45" w:rsidRDefault="00D04B45" w:rsidP="000666A2">
            <w:pPr>
              <w:pStyle w:val="TAL"/>
              <w:rPr>
                <w:highlight w:val="yellow"/>
                <w:lang w:val="en-US"/>
              </w:rPr>
            </w:pPr>
            <w:r w:rsidRPr="00D04B45">
              <w:rPr>
                <w:highlight w:val="yellow"/>
                <w:lang w:val="en-US"/>
              </w:rPr>
              <w:t>Maximum number of HARQ transmission</w:t>
            </w:r>
          </w:p>
        </w:tc>
        <w:tc>
          <w:tcPr>
            <w:tcW w:w="354" w:type="pct"/>
            <w:tcBorders>
              <w:top w:val="single" w:sz="4" w:space="0" w:color="auto"/>
              <w:left w:val="single" w:sz="4" w:space="0" w:color="auto"/>
              <w:bottom w:val="single" w:sz="4" w:space="0" w:color="auto"/>
              <w:right w:val="single" w:sz="4" w:space="0" w:color="auto"/>
            </w:tcBorders>
            <w:vAlign w:val="center"/>
          </w:tcPr>
          <w:p w14:paraId="114B7DAD" w14:textId="77777777" w:rsidR="00D04B45" w:rsidRPr="00D04B45" w:rsidRDefault="00D04B45" w:rsidP="000666A2">
            <w:pPr>
              <w:pStyle w:val="TAL"/>
              <w:rPr>
                <w:highlight w:val="yellow"/>
                <w:lang w:val="en-US"/>
              </w:rPr>
            </w:pPr>
          </w:p>
        </w:tc>
        <w:tc>
          <w:tcPr>
            <w:tcW w:w="1608" w:type="pct"/>
            <w:tcBorders>
              <w:top w:val="single" w:sz="4" w:space="0" w:color="auto"/>
              <w:left w:val="single" w:sz="4" w:space="0" w:color="auto"/>
              <w:bottom w:val="single" w:sz="4" w:space="0" w:color="auto"/>
              <w:right w:val="single" w:sz="4" w:space="0" w:color="auto"/>
            </w:tcBorders>
            <w:vAlign w:val="center"/>
          </w:tcPr>
          <w:p w14:paraId="18210D13" w14:textId="77777777" w:rsidR="00D04B45" w:rsidRPr="00D04B45" w:rsidRDefault="00D04B45" w:rsidP="000666A2">
            <w:pPr>
              <w:pStyle w:val="TAL"/>
              <w:rPr>
                <w:highlight w:val="yellow"/>
              </w:rPr>
            </w:pPr>
            <w:r w:rsidRPr="00D04B45">
              <w:rPr>
                <w:highlight w:val="yellow"/>
              </w:rPr>
              <w:t>FFS</w:t>
            </w:r>
          </w:p>
        </w:tc>
      </w:tr>
      <w:tr w:rsidR="00D04B45" w14:paraId="042D9C2C" w14:textId="77777777" w:rsidTr="000666A2">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54D493" w14:textId="77777777" w:rsidR="00D04B45" w:rsidRPr="00D04B45" w:rsidRDefault="00D04B45" w:rsidP="000666A2">
            <w:pPr>
              <w:pStyle w:val="TAL"/>
              <w:rPr>
                <w:lang w:val="en-US"/>
              </w:rPr>
            </w:pPr>
            <w:r w:rsidRPr="00D04B45">
              <w:rPr>
                <w:lang w:val="en-US"/>
              </w:rPr>
              <w:t>Note 1: FR1.30-1 is defined in Clause A.1.2 of TS 38.101-4 [8]</w:t>
            </w:r>
          </w:p>
          <w:p w14:paraId="566BEC5C" w14:textId="77777777" w:rsidR="00D04B45" w:rsidRPr="00D04B45" w:rsidRDefault="00D04B45" w:rsidP="000666A2">
            <w:pPr>
              <w:pStyle w:val="TAL"/>
              <w:rPr>
                <w:lang w:val="en-US"/>
              </w:rPr>
            </w:pPr>
            <w:r w:rsidRPr="00D04B45">
              <w:rPr>
                <w:lang w:val="en-US"/>
              </w:rPr>
              <w:t xml:space="preserve">Note:2: Let CQI/RI/PMI delay corresponds to ‘k’ slots. Then, if the UE reports in an available uplink reporting instance at slot#n based on PMI estimation at a downlink slot not later than slot#[(n-k/2)], this reported PMI cannot be applied at the gNB downlink before slot#[(n+k/2)]. </w:t>
            </w:r>
          </w:p>
          <w:p w14:paraId="055760EA" w14:textId="77777777" w:rsidR="00D04B45" w:rsidRPr="00D04B45" w:rsidRDefault="00D04B45" w:rsidP="000666A2">
            <w:pPr>
              <w:pStyle w:val="TAL"/>
              <w:rPr>
                <w:lang w:val="en-US"/>
              </w:rPr>
            </w:pPr>
            <w:r w:rsidRPr="00D04B45">
              <w:rPr>
                <w:lang w:val="en-US" w:eastAsia="zh-CN"/>
              </w:rPr>
              <w:t>Note 3: CQI table to use for CQI calculation (see clause 5.2.2.1 of TS 38.214 [9])</w:t>
            </w:r>
          </w:p>
        </w:tc>
      </w:tr>
    </w:tbl>
    <w:p w14:paraId="64CCE912" w14:textId="77777777" w:rsidR="00D04B45" w:rsidRDefault="00D04B45" w:rsidP="00D04B45"/>
    <w:p w14:paraId="422DB117" w14:textId="12A73602" w:rsidR="00D04B45" w:rsidRDefault="00D04B45" w:rsidP="00DA7D18">
      <w:pPr>
        <w:jc w:val="left"/>
        <w:rPr>
          <w:rFonts w:eastAsiaTheme="minorEastAsia"/>
          <w:lang w:eastAsia="zh-CN"/>
        </w:rPr>
      </w:pPr>
      <w:r>
        <w:rPr>
          <w:rFonts w:eastAsiaTheme="minorEastAsia" w:hint="eastAsia"/>
          <w:lang w:eastAsia="zh-CN"/>
        </w:rPr>
        <w:t>I</w:t>
      </w:r>
      <w:r>
        <w:rPr>
          <w:rFonts w:eastAsiaTheme="minorEastAsia"/>
          <w:lang w:eastAsia="zh-CN"/>
        </w:rPr>
        <w:t>n previous meeting, a value of 4 is considered as starting point while measurement comparison is expected between the value 1 and 4, as indicated in the WF of RAN4#112bis meeting [2, R4-2416579]:</w:t>
      </w:r>
    </w:p>
    <w:tbl>
      <w:tblPr>
        <w:tblStyle w:val="afd"/>
        <w:tblW w:w="0" w:type="auto"/>
        <w:tblLook w:val="04A0" w:firstRow="1" w:lastRow="0" w:firstColumn="1" w:lastColumn="0" w:noHBand="0" w:noVBand="1"/>
      </w:tblPr>
      <w:tblGrid>
        <w:gridCol w:w="9631"/>
      </w:tblGrid>
      <w:tr w:rsidR="00D04B45" w14:paraId="206ED8AC" w14:textId="77777777" w:rsidTr="00D04B45">
        <w:tc>
          <w:tcPr>
            <w:tcW w:w="9631" w:type="dxa"/>
          </w:tcPr>
          <w:p w14:paraId="577AF94D" w14:textId="77777777" w:rsidR="00D04B45" w:rsidRPr="00CE55A4" w:rsidRDefault="00D04B45" w:rsidP="00D04B45">
            <w:pPr>
              <w:rPr>
                <w:b/>
                <w:u w:val="single"/>
                <w:lang w:eastAsia="zh-CN"/>
              </w:rPr>
            </w:pPr>
            <w:r w:rsidRPr="00CE55A4">
              <w:rPr>
                <w:b/>
                <w:u w:val="single"/>
                <w:lang w:eastAsia="ko-KR"/>
              </w:rPr>
              <w:t>Issue 1-</w:t>
            </w:r>
            <w:r w:rsidRPr="00CE55A4">
              <w:rPr>
                <w:rFonts w:hint="eastAsia"/>
                <w:b/>
                <w:u w:val="single"/>
                <w:lang w:eastAsia="zh-CN"/>
              </w:rPr>
              <w:t>2-1</w:t>
            </w:r>
            <w:r w:rsidRPr="00CE55A4">
              <w:rPr>
                <w:b/>
                <w:u w:val="single"/>
                <w:lang w:eastAsia="ko-KR"/>
              </w:rPr>
              <w:t>:</w:t>
            </w:r>
            <w:r w:rsidRPr="00CE55A4">
              <w:rPr>
                <w:rFonts w:hint="eastAsia"/>
                <w:b/>
                <w:u w:val="single"/>
                <w:lang w:eastAsia="zh-CN"/>
              </w:rPr>
              <w:t xml:space="preserve"> The </w:t>
            </w:r>
            <w:r w:rsidRPr="00CE55A4">
              <w:rPr>
                <w:b/>
                <w:u w:val="single"/>
                <w:lang w:eastAsia="zh-CN"/>
              </w:rPr>
              <w:t>maximum number of HARQ transmissions</w:t>
            </w:r>
          </w:p>
          <w:p w14:paraId="23BAEF5E" w14:textId="77777777" w:rsidR="00D04B45" w:rsidRPr="00CE55A4" w:rsidRDefault="00D04B45" w:rsidP="00D04B45">
            <w:pPr>
              <w:spacing w:after="120"/>
              <w:rPr>
                <w:b/>
                <w:bCs/>
                <w:szCs w:val="24"/>
                <w:lang w:eastAsia="zh-CN"/>
              </w:rPr>
            </w:pPr>
            <w:r w:rsidRPr="00CE55A4">
              <w:rPr>
                <w:rFonts w:hint="eastAsia"/>
                <w:b/>
                <w:bCs/>
                <w:szCs w:val="24"/>
                <w:lang w:eastAsia="zh-CN"/>
              </w:rPr>
              <w:t>Agreements:</w:t>
            </w:r>
          </w:p>
          <w:p w14:paraId="557DAE4E" w14:textId="77777777" w:rsidR="00D04B45" w:rsidRPr="00CE55A4" w:rsidRDefault="00D04B45" w:rsidP="00D04B45">
            <w:pPr>
              <w:pStyle w:val="aff6"/>
              <w:numPr>
                <w:ilvl w:val="0"/>
                <w:numId w:val="15"/>
              </w:numPr>
              <w:overflowPunct/>
              <w:autoSpaceDE/>
              <w:autoSpaceDN/>
              <w:adjustRightInd/>
              <w:spacing w:after="120" w:line="240" w:lineRule="auto"/>
              <w:ind w:left="936" w:firstLineChars="0"/>
              <w:jc w:val="left"/>
              <w:textAlignment w:val="auto"/>
              <w:rPr>
                <w:rFonts w:eastAsia="宋体"/>
                <w:szCs w:val="24"/>
                <w:lang w:eastAsia="zh-CN"/>
              </w:rPr>
            </w:pPr>
            <w:r w:rsidRPr="00CE55A4">
              <w:rPr>
                <w:rFonts w:eastAsia="宋体" w:hint="eastAsia"/>
                <w:szCs w:val="24"/>
                <w:lang w:eastAsia="zh-CN"/>
              </w:rPr>
              <w:t xml:space="preserve">Take the following test </w:t>
            </w:r>
            <w:r w:rsidRPr="00CE55A4">
              <w:rPr>
                <w:rFonts w:eastAsia="宋体"/>
                <w:szCs w:val="24"/>
                <w:lang w:eastAsia="zh-CN"/>
              </w:rPr>
              <w:t>parameters</w:t>
            </w:r>
            <w:r w:rsidRPr="00CE55A4">
              <w:rPr>
                <w:rFonts w:eastAsia="宋体" w:hint="eastAsia"/>
                <w:szCs w:val="24"/>
                <w:lang w:eastAsia="zh-CN"/>
              </w:rPr>
              <w:t xml:space="preserve"> as the starting point and further check the </w:t>
            </w:r>
            <w:r w:rsidRPr="00CE55A4">
              <w:rPr>
                <w:rFonts w:eastAsia="宋体"/>
                <w:szCs w:val="24"/>
                <w:lang w:eastAsia="zh-CN"/>
              </w:rPr>
              <w:t>feasibility</w:t>
            </w:r>
            <w:r w:rsidRPr="00CE55A4">
              <w:rPr>
                <w:rFonts w:eastAsia="宋体" w:hint="eastAsia"/>
                <w:szCs w:val="24"/>
                <w:lang w:eastAsia="zh-CN"/>
              </w:rPr>
              <w:t xml:space="preserve"> and potential impact on dynamic MIMO OTA testing.</w:t>
            </w:r>
          </w:p>
          <w:p w14:paraId="5194D946" w14:textId="77777777" w:rsidR="00D04B45" w:rsidRPr="00CE55A4" w:rsidRDefault="00D04B45" w:rsidP="00D04B45">
            <w:pPr>
              <w:pStyle w:val="aff6"/>
              <w:numPr>
                <w:ilvl w:val="1"/>
                <w:numId w:val="15"/>
              </w:numPr>
              <w:overflowPunct/>
              <w:autoSpaceDE/>
              <w:autoSpaceDN/>
              <w:adjustRightInd/>
              <w:spacing w:after="120" w:line="240" w:lineRule="auto"/>
              <w:ind w:left="1656" w:firstLineChars="0"/>
              <w:jc w:val="left"/>
              <w:textAlignment w:val="auto"/>
              <w:rPr>
                <w:rFonts w:eastAsia="宋体"/>
                <w:szCs w:val="24"/>
                <w:lang w:eastAsia="zh-CN"/>
              </w:rPr>
            </w:pPr>
            <w:r w:rsidRPr="00CE55A4">
              <w:rPr>
                <w:rFonts w:eastAsia="宋体" w:hint="eastAsia"/>
                <w:szCs w:val="24"/>
                <w:lang w:eastAsia="zh-CN"/>
              </w:rPr>
              <w:t>Maximum number of HARQ transmission: [4]</w:t>
            </w:r>
          </w:p>
          <w:p w14:paraId="566044B2" w14:textId="77777777" w:rsidR="00D04B45" w:rsidRPr="00CE55A4" w:rsidRDefault="00D04B45" w:rsidP="00D04B45">
            <w:pPr>
              <w:pStyle w:val="aff6"/>
              <w:numPr>
                <w:ilvl w:val="1"/>
                <w:numId w:val="15"/>
              </w:numPr>
              <w:overflowPunct/>
              <w:autoSpaceDE/>
              <w:autoSpaceDN/>
              <w:adjustRightInd/>
              <w:spacing w:after="120" w:line="240" w:lineRule="auto"/>
              <w:ind w:left="1656" w:firstLineChars="0"/>
              <w:jc w:val="left"/>
              <w:textAlignment w:val="auto"/>
              <w:rPr>
                <w:rFonts w:eastAsia="宋体"/>
                <w:szCs w:val="24"/>
                <w:lang w:eastAsia="zh-CN"/>
              </w:rPr>
            </w:pPr>
            <w:r w:rsidRPr="00CE55A4">
              <w:rPr>
                <w:rFonts w:eastAsia="宋体" w:hint="eastAsia"/>
                <w:szCs w:val="24"/>
                <w:lang w:eastAsia="zh-CN"/>
              </w:rPr>
              <w:t>N</w:t>
            </w:r>
            <w:r w:rsidRPr="00CE55A4">
              <w:rPr>
                <w:rFonts w:eastAsia="宋体"/>
                <w:szCs w:val="24"/>
                <w:lang w:eastAsia="zh-CN"/>
              </w:rPr>
              <w:t xml:space="preserve">umber of HARQ </w:t>
            </w:r>
            <w:r w:rsidRPr="00CE55A4">
              <w:rPr>
                <w:rFonts w:eastAsia="宋体" w:hint="eastAsia"/>
                <w:szCs w:val="24"/>
                <w:lang w:eastAsia="zh-CN"/>
              </w:rPr>
              <w:t>p</w:t>
            </w:r>
            <w:r w:rsidRPr="00CE55A4">
              <w:rPr>
                <w:rFonts w:eastAsia="宋体"/>
                <w:szCs w:val="24"/>
                <w:lang w:eastAsia="zh-CN"/>
              </w:rPr>
              <w:t>rocesses</w:t>
            </w:r>
            <w:r w:rsidRPr="00CE55A4">
              <w:rPr>
                <w:rFonts w:eastAsia="宋体" w:hint="eastAsia"/>
                <w:szCs w:val="24"/>
                <w:lang w:eastAsia="zh-CN"/>
              </w:rPr>
              <w:t xml:space="preserve"> for TDD bands: [8]</w:t>
            </w:r>
          </w:p>
          <w:p w14:paraId="46383A94" w14:textId="77777777" w:rsidR="00D04B45" w:rsidRPr="00CE55A4" w:rsidRDefault="00D04B45" w:rsidP="00D04B45">
            <w:pPr>
              <w:pStyle w:val="aff6"/>
              <w:numPr>
                <w:ilvl w:val="1"/>
                <w:numId w:val="15"/>
              </w:numPr>
              <w:overflowPunct/>
              <w:autoSpaceDE/>
              <w:autoSpaceDN/>
              <w:adjustRightInd/>
              <w:spacing w:after="120" w:line="240" w:lineRule="auto"/>
              <w:ind w:left="1656" w:firstLineChars="0"/>
              <w:jc w:val="left"/>
              <w:textAlignment w:val="auto"/>
              <w:rPr>
                <w:rFonts w:eastAsia="宋体"/>
                <w:szCs w:val="24"/>
                <w:lang w:eastAsia="zh-CN"/>
              </w:rPr>
            </w:pPr>
            <w:r w:rsidRPr="00CE55A4">
              <w:rPr>
                <w:rFonts w:eastAsia="宋体" w:hint="eastAsia"/>
                <w:szCs w:val="24"/>
                <w:lang w:eastAsia="zh-CN"/>
              </w:rPr>
              <w:t>N</w:t>
            </w:r>
            <w:r w:rsidRPr="00CE55A4">
              <w:rPr>
                <w:rFonts w:eastAsia="宋体"/>
                <w:szCs w:val="24"/>
                <w:lang w:eastAsia="zh-CN"/>
              </w:rPr>
              <w:t xml:space="preserve">umber of HARQ </w:t>
            </w:r>
            <w:r w:rsidRPr="00CE55A4">
              <w:rPr>
                <w:rFonts w:eastAsia="宋体" w:hint="eastAsia"/>
                <w:szCs w:val="24"/>
                <w:lang w:eastAsia="zh-CN"/>
              </w:rPr>
              <w:t>p</w:t>
            </w:r>
            <w:r w:rsidRPr="00CE55A4">
              <w:rPr>
                <w:rFonts w:eastAsia="宋体"/>
                <w:szCs w:val="24"/>
                <w:lang w:eastAsia="zh-CN"/>
              </w:rPr>
              <w:t>rocesses</w:t>
            </w:r>
            <w:r w:rsidRPr="00CE55A4">
              <w:rPr>
                <w:rFonts w:eastAsia="宋体" w:hint="eastAsia"/>
                <w:szCs w:val="24"/>
                <w:lang w:eastAsia="zh-CN"/>
              </w:rPr>
              <w:t xml:space="preserve"> for FDD bands: [4]</w:t>
            </w:r>
          </w:p>
          <w:p w14:paraId="6303B620" w14:textId="430C9020" w:rsidR="00D04B45" w:rsidRPr="00D04B45" w:rsidRDefault="00D04B45" w:rsidP="00D04B45">
            <w:pPr>
              <w:pStyle w:val="aff6"/>
              <w:numPr>
                <w:ilvl w:val="0"/>
                <w:numId w:val="15"/>
              </w:numPr>
              <w:overflowPunct/>
              <w:autoSpaceDE/>
              <w:autoSpaceDN/>
              <w:adjustRightInd/>
              <w:spacing w:after="120" w:line="240" w:lineRule="auto"/>
              <w:ind w:left="936" w:firstLineChars="0"/>
              <w:jc w:val="left"/>
              <w:textAlignment w:val="auto"/>
              <w:rPr>
                <w:rFonts w:eastAsiaTheme="minorEastAsia"/>
                <w:lang w:eastAsia="zh-CN"/>
              </w:rPr>
            </w:pPr>
            <w:r w:rsidRPr="00CE55A4">
              <w:rPr>
                <w:rFonts w:eastAsiaTheme="minorEastAsia" w:hint="eastAsia"/>
                <w:szCs w:val="24"/>
                <w:lang w:eastAsia="zh-CN"/>
              </w:rPr>
              <w:t>Measurement</w:t>
            </w:r>
            <w:r w:rsidRPr="00CE55A4">
              <w:rPr>
                <w:rFonts w:eastAsiaTheme="minorEastAsia"/>
                <w:szCs w:val="24"/>
                <w:lang w:eastAsia="zh-CN"/>
              </w:rPr>
              <w:t>s</w:t>
            </w:r>
            <w:r w:rsidRPr="00CE55A4">
              <w:rPr>
                <w:rFonts w:eastAsiaTheme="minorEastAsia" w:hint="eastAsia"/>
                <w:szCs w:val="24"/>
                <w:lang w:eastAsia="zh-CN"/>
              </w:rPr>
              <w:t xml:space="preserve"> </w:t>
            </w:r>
            <w:r w:rsidRPr="00CE55A4">
              <w:rPr>
                <w:rFonts w:hint="eastAsia"/>
                <w:szCs w:val="24"/>
                <w:lang w:eastAsia="zh-CN"/>
              </w:rPr>
              <w:t xml:space="preserve">can be performed </w:t>
            </w:r>
            <w:r w:rsidRPr="00CE55A4">
              <w:rPr>
                <w:rFonts w:eastAsiaTheme="minorEastAsia" w:hint="eastAsia"/>
                <w:szCs w:val="24"/>
                <w:lang w:eastAsia="zh-CN"/>
              </w:rPr>
              <w:t xml:space="preserve">to compare the </w:t>
            </w:r>
            <w:r w:rsidRPr="00CE55A4">
              <w:rPr>
                <w:rFonts w:eastAsiaTheme="minorEastAsia"/>
                <w:szCs w:val="24"/>
                <w:lang w:eastAsia="zh-CN"/>
              </w:rPr>
              <w:t>measurement</w:t>
            </w:r>
            <w:r w:rsidRPr="00CE55A4">
              <w:rPr>
                <w:rFonts w:eastAsiaTheme="minorEastAsia" w:hint="eastAsia"/>
                <w:szCs w:val="24"/>
                <w:lang w:eastAsia="zh-CN"/>
              </w:rPr>
              <w:t xml:space="preserve"> results with </w:t>
            </w:r>
            <w:r w:rsidRPr="00CE55A4">
              <w:rPr>
                <w:rFonts w:eastAsiaTheme="minorEastAsia"/>
                <w:szCs w:val="24"/>
                <w:lang w:eastAsia="zh-CN"/>
              </w:rPr>
              <w:t xml:space="preserve">Maximum </w:t>
            </w:r>
            <w:r w:rsidRPr="00CE55A4">
              <w:rPr>
                <w:rFonts w:eastAsiaTheme="minorEastAsia" w:hint="eastAsia"/>
                <w:szCs w:val="24"/>
                <w:lang w:eastAsia="zh-CN"/>
              </w:rPr>
              <w:t>N</w:t>
            </w:r>
            <w:r w:rsidRPr="00CE55A4">
              <w:rPr>
                <w:rFonts w:eastAsiaTheme="minorEastAsia"/>
                <w:szCs w:val="24"/>
                <w:lang w:eastAsia="zh-CN"/>
              </w:rPr>
              <w:t xml:space="preserve">umber of HARQ </w:t>
            </w:r>
            <w:r w:rsidRPr="00CE55A4">
              <w:rPr>
                <w:rFonts w:eastAsiaTheme="minorEastAsia" w:hint="eastAsia"/>
                <w:szCs w:val="24"/>
                <w:lang w:eastAsia="zh-CN"/>
              </w:rPr>
              <w:t>T</w:t>
            </w:r>
            <w:r w:rsidRPr="00CE55A4">
              <w:rPr>
                <w:rFonts w:eastAsiaTheme="minorEastAsia"/>
                <w:szCs w:val="24"/>
                <w:lang w:eastAsia="zh-CN"/>
              </w:rPr>
              <w:t>ransmission</w:t>
            </w:r>
            <w:r w:rsidRPr="00CE55A4">
              <w:rPr>
                <w:rFonts w:eastAsiaTheme="minorEastAsia" w:hint="eastAsia"/>
                <w:szCs w:val="24"/>
                <w:lang w:eastAsia="zh-CN"/>
              </w:rPr>
              <w:t xml:space="preserve"> = 1 vs. 4. </w:t>
            </w:r>
          </w:p>
        </w:tc>
      </w:tr>
    </w:tbl>
    <w:p w14:paraId="33CF99B5" w14:textId="77777777" w:rsidR="00D04B45" w:rsidRPr="00D04B45" w:rsidRDefault="00D04B45" w:rsidP="00DA7D18">
      <w:pPr>
        <w:jc w:val="left"/>
        <w:rPr>
          <w:rFonts w:eastAsiaTheme="minorEastAsia"/>
          <w:lang w:eastAsia="zh-CN"/>
        </w:rPr>
      </w:pPr>
    </w:p>
    <w:p w14:paraId="6155BE76" w14:textId="57779A28" w:rsidR="00CD2D05" w:rsidRDefault="0031096D" w:rsidP="00DA7D18">
      <w:pPr>
        <w:jc w:val="left"/>
        <w:rPr>
          <w:rFonts w:eastAsiaTheme="minor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the determination of this parameter relies on practical measurement. The weighting factors for performance metric seem also relying on practical measurement. In last meeting, the performance metric for CTMT is as</w:t>
      </w:r>
      <w:r w:rsidR="00E1629C">
        <w:rPr>
          <w:rFonts w:eastAsiaTheme="minorEastAsia"/>
          <w:lang w:eastAsia="zh-CN"/>
        </w:rPr>
        <w:t xml:space="preserve"> updated as</w:t>
      </w:r>
      <w:r>
        <w:rPr>
          <w:rFonts w:eastAsiaTheme="minorEastAsia"/>
          <w:lang w:eastAsia="zh-CN"/>
        </w:rPr>
        <w:t xml:space="preserve"> following [1]:</w:t>
      </w:r>
    </w:p>
    <w:tbl>
      <w:tblPr>
        <w:tblStyle w:val="afd"/>
        <w:tblW w:w="0" w:type="auto"/>
        <w:tblLook w:val="04A0" w:firstRow="1" w:lastRow="0" w:firstColumn="1" w:lastColumn="0" w:noHBand="0" w:noVBand="1"/>
      </w:tblPr>
      <w:tblGrid>
        <w:gridCol w:w="9631"/>
      </w:tblGrid>
      <w:tr w:rsidR="0031096D" w14:paraId="027EB92E" w14:textId="77777777" w:rsidTr="0031096D">
        <w:tc>
          <w:tcPr>
            <w:tcW w:w="9631" w:type="dxa"/>
          </w:tcPr>
          <w:p w14:paraId="5292D7FA" w14:textId="77777777" w:rsidR="0031096D" w:rsidRDefault="0031096D" w:rsidP="0031096D">
            <w:pPr>
              <w:pStyle w:val="1"/>
              <w:outlineLvl w:val="0"/>
            </w:pPr>
            <w:bookmarkStart w:id="3" w:name="_Toc180424203"/>
            <w:bookmarkStart w:id="4" w:name="_Toc208490103"/>
            <w:bookmarkStart w:id="5" w:name="_Toc208489585"/>
            <w:bookmarkStart w:id="6" w:name="_Toc30216"/>
            <w:r>
              <w:lastRenderedPageBreak/>
              <w:t>5</w:t>
            </w:r>
            <w:r>
              <w:tab/>
              <w:t>Performance metrics</w:t>
            </w:r>
            <w:bookmarkEnd w:id="3"/>
            <w:bookmarkEnd w:id="4"/>
            <w:bookmarkEnd w:id="5"/>
            <w:bookmarkEnd w:id="6"/>
            <w:r>
              <w:t xml:space="preserve"> </w:t>
            </w:r>
          </w:p>
          <w:p w14:paraId="6674697D" w14:textId="77777777" w:rsidR="0031096D" w:rsidRDefault="0031096D" w:rsidP="0031096D">
            <w:r>
              <w:t xml:space="preserve">Let the CDF of the Total Measured Throughput (CTMT) be the figure of merit for the MIMO OTA tests with link adaptation and dynamic channel models. The TP shall be recorded every 200 ms during the emulation of the route separately for each of the </w:t>
            </w:r>
            <m:oMath>
              <m:r>
                <w:rPr>
                  <w:rFonts w:ascii="Cambria Math" w:hAnsi="Cambria Math"/>
                </w:rPr>
                <m:t>M</m:t>
              </m:r>
            </m:oMath>
            <w:r>
              <w:t xml:space="preserve"> DUT orientations and for each of the </w:t>
            </w:r>
            <w:r>
              <w:rPr>
                <w:i/>
                <w:iCs/>
              </w:rPr>
              <w:t>L</w:t>
            </w:r>
            <w:r>
              <w:t xml:space="preserve"> rotations per orientation, defined in Clause B.2. The Total Measured Throughput (TMT) is defined as the combination/concatenation of all measured TP values for each channel model, i.e., </w:t>
            </w:r>
          </w:p>
          <w:p w14:paraId="1AFFBED3" w14:textId="77777777" w:rsidR="0031096D" w:rsidRDefault="00063B3D" w:rsidP="0031096D">
            <w:pPr>
              <w:pStyle w:val="EQ"/>
            </w:pPr>
            <m:oMathPara>
              <m:oMath>
                <m:sSub>
                  <m:sSubPr>
                    <m:ctrlPr>
                      <w:rPr>
                        <w:rFonts w:ascii="Cambria Math" w:hAnsi="Cambria Math"/>
                      </w:rPr>
                    </m:ctrlPr>
                  </m:sSubPr>
                  <m:e>
                    <m:r>
                      <w:rPr>
                        <w:rFonts w:ascii="Cambria Math" w:hAnsi="Cambria Math"/>
                      </w:rPr>
                      <m:t>TMT</m:t>
                    </m:r>
                  </m:e>
                  <m:sub>
                    <m:r>
                      <w:rPr>
                        <w:rFonts w:ascii="Cambria Math" w:hAnsi="Cambria Math"/>
                      </w:rPr>
                      <m:t>UMi</m:t>
                    </m:r>
                  </m:sub>
                </m:sSub>
                <m:r>
                  <m:rPr>
                    <m:sty m:val="p"/>
                  </m:rP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TP</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r>
                              <m:rPr>
                                <m:sty m:val="p"/>
                              </m:rPr>
                              <w:rPr>
                                <w:rFonts w:ascii="Cambria Math" w:hAnsi="Cambria Math"/>
                              </w:rPr>
                              <m:t>),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r>
                              <m:rPr>
                                <m:sty m:val="p"/>
                              </m:rPr>
                              <w:rPr>
                                <w:rFonts w:ascii="Cambria Math" w:hAnsi="Cambria Math"/>
                              </w:rPr>
                              <m:t>)</m:t>
                            </m:r>
                          </m:e>
                        </m:d>
                      </m:e>
                    </m:d>
                  </m:e>
                  <m:sub>
                    <m:r>
                      <w:rPr>
                        <w:rFonts w:ascii="Cambria Math" w:hAnsi="Cambria Math"/>
                      </w:rPr>
                      <m:t>UMi</m:t>
                    </m:r>
                  </m:sub>
                </m:sSub>
                <m:r>
                  <m:rPr>
                    <m:sty m:val="p"/>
                  </m:rPr>
                  <w:rPr>
                    <w:rFonts w:ascii="Cambria Math" w:hAnsi="Cambria Math"/>
                  </w:rPr>
                  <m:t xml:space="preserve"> </m:t>
                </m:r>
              </m:oMath>
            </m:oMathPara>
          </w:p>
          <w:p w14:paraId="60485308" w14:textId="77777777" w:rsidR="0031096D" w:rsidRDefault="0031096D" w:rsidP="0031096D">
            <w:r>
              <w:t>and</w:t>
            </w:r>
          </w:p>
          <w:p w14:paraId="51A64474" w14:textId="77777777" w:rsidR="0031096D" w:rsidRDefault="00063B3D" w:rsidP="0031096D">
            <w:pPr>
              <w:pStyle w:val="EQ"/>
            </w:pPr>
            <m:oMathPara>
              <m:oMath>
                <m:sSub>
                  <m:sSubPr>
                    <m:ctrlPr>
                      <w:rPr>
                        <w:rFonts w:ascii="Cambria Math" w:hAnsi="Cambria Math"/>
                      </w:rPr>
                    </m:ctrlPr>
                  </m:sSubPr>
                  <m:e>
                    <m:r>
                      <w:rPr>
                        <w:rFonts w:ascii="Cambria Math" w:hAnsi="Cambria Math"/>
                      </w:rPr>
                      <m:t>TMT</m:t>
                    </m:r>
                  </m:e>
                  <m:sub>
                    <m:r>
                      <w:rPr>
                        <w:rFonts w:ascii="Cambria Math" w:hAnsi="Cambria Math"/>
                      </w:rPr>
                      <m:t>UMa</m:t>
                    </m:r>
                  </m:sub>
                </m:sSub>
                <m:r>
                  <m:rPr>
                    <m:sty m:val="p"/>
                  </m:rP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TP</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r>
                              <m:rPr>
                                <m:sty m:val="p"/>
                              </m:rPr>
                              <w:rPr>
                                <w:rFonts w:ascii="Cambria Math" w:hAnsi="Cambria Math"/>
                              </w:rPr>
                              <m:t>),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r>
                              <m:rPr>
                                <m:sty m:val="p"/>
                              </m:rPr>
                              <w:rPr>
                                <w:rFonts w:ascii="Cambria Math" w:hAnsi="Cambria Math"/>
                              </w:rPr>
                              <m:t>)</m:t>
                            </m:r>
                          </m:e>
                        </m:d>
                      </m:e>
                    </m:d>
                  </m:e>
                  <m:sub>
                    <m:r>
                      <w:rPr>
                        <w:rFonts w:ascii="Cambria Math" w:hAnsi="Cambria Math"/>
                      </w:rPr>
                      <m:t>UMa</m:t>
                    </m:r>
                  </m:sub>
                </m:sSub>
              </m:oMath>
            </m:oMathPara>
          </w:p>
          <w:p w14:paraId="729CFB37" w14:textId="77777777" w:rsidR="0031096D" w:rsidRDefault="0031096D" w:rsidP="0031096D">
            <w:r>
              <w:t xml:space="preserve">with </w:t>
            </w:r>
            <w:r>
              <w:rPr>
                <w:i/>
                <w:iCs/>
              </w:rPr>
              <w:t>m</w:t>
            </w:r>
            <w:r>
              <w:t xml:space="preserve"> = 1 to </w:t>
            </w:r>
            <w:r>
              <w:rPr>
                <w:i/>
                <w:iCs/>
              </w:rPr>
              <w:t>M</w:t>
            </w:r>
            <w:r>
              <w:t xml:space="preserve">=4 and </w:t>
            </w:r>
            <w:r>
              <w:rPr>
                <w:i/>
                <w:iCs/>
              </w:rPr>
              <w:t>l</w:t>
            </w:r>
            <w:r>
              <w:t xml:space="preserve"> = 1 to </w:t>
            </w:r>
            <w:r>
              <w:rPr>
                <w:i/>
                <w:iCs/>
              </w:rPr>
              <w:t>L</w:t>
            </w:r>
            <w:r>
              <w:t>=4.</w:t>
            </w:r>
          </w:p>
          <w:p w14:paraId="0B5E6E76" w14:textId="77777777" w:rsidR="0031096D" w:rsidRDefault="0031096D" w:rsidP="0031096D">
            <w:r>
              <w:t>Subsequently, the TMTs from both channel models are combined into a single one</w:t>
            </w:r>
          </w:p>
          <w:p w14:paraId="40C0538C" w14:textId="77777777" w:rsidR="0031096D" w:rsidRDefault="00063B3D" w:rsidP="0031096D">
            <w:pPr>
              <w:pStyle w:val="EQ"/>
            </w:pPr>
            <m:oMathPara>
              <m:oMath>
                <m:sSub>
                  <m:sSubPr>
                    <m:ctrlPr>
                      <w:rPr>
                        <w:rFonts w:ascii="Cambria Math" w:hAnsi="Cambria Math"/>
                      </w:rPr>
                    </m:ctrlPr>
                  </m:sSubPr>
                  <m:e>
                    <m:r>
                      <w:rPr>
                        <w:rFonts w:ascii="Cambria Math" w:hAnsi="Cambria Math"/>
                      </w:rPr>
                      <m:t>TMT</m:t>
                    </m:r>
                  </m:e>
                  <m:sub>
                    <m:r>
                      <w:rPr>
                        <w:rFonts w:ascii="Cambria Math" w:hAnsi="Cambria Math"/>
                      </w:rPr>
                      <m:t>UMi</m:t>
                    </m:r>
                    <m:r>
                      <m:rPr>
                        <m:sty m:val="p"/>
                      </m:rPr>
                      <w:rPr>
                        <w:rFonts w:ascii="Cambria Math" w:hAnsi="Cambria Math"/>
                      </w:rPr>
                      <m:t>&amp;</m:t>
                    </m:r>
                    <m:r>
                      <w:rPr>
                        <w:rFonts w:ascii="Cambria Math" w:hAnsi="Cambria Math"/>
                      </w:rPr>
                      <m:t>UMa</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m:t>
                        </m:r>
                      </m:e>
                      <m:sub>
                        <m:r>
                          <w:rPr>
                            <w:rFonts w:ascii="Cambria Math" w:hAnsi="Cambria Math"/>
                          </w:rPr>
                          <m:t>UMa</m:t>
                        </m:r>
                      </m:sub>
                    </m:sSub>
                  </m:e>
                </m:d>
              </m:oMath>
            </m:oMathPara>
          </w:p>
          <w:p w14:paraId="2D5201EB" w14:textId="77777777" w:rsidR="0031096D" w:rsidRDefault="0031096D" w:rsidP="0031096D">
            <w:r>
              <w:t>Three separate CTMT values shall be determined from the TMT values, i.e., the 10%, 50%, and 90%-ile CDF</w:t>
            </w:r>
          </w:p>
          <w:p w14:paraId="3E2068F7" w14:textId="77777777" w:rsidR="0031096D" w:rsidRDefault="0031096D" w:rsidP="0031096D">
            <w:pPr>
              <w:pStyle w:val="B1"/>
            </w:pPr>
            <w:r>
              <w:rPr>
                <w:iCs/>
              </w:rPr>
              <w:t>-</w:t>
            </w:r>
            <w:r>
              <w:rPr>
                <w:iCs/>
              </w:rPr>
              <w:tab/>
            </w:r>
            <m:oMath>
              <m: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UMi&amp;UMa</m:t>
                  </m:r>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UMi&amp;UMa</m:t>
                      </m:r>
                    </m:sub>
                  </m:sSub>
                </m:e>
              </m:d>
            </m:oMath>
          </w:p>
          <w:p w14:paraId="7C67A857" w14:textId="77777777" w:rsidR="0031096D" w:rsidRDefault="0031096D" w:rsidP="0031096D">
            <w:pPr>
              <w:pStyle w:val="B1"/>
            </w:pPr>
            <w:r>
              <w:t>-</w:t>
            </w:r>
            <w:r>
              <w:tab/>
            </w:r>
            <m:oMath>
              <m:r>
                <m:rPr>
                  <m:sty m:val="p"/>
                </m:rP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UMi&amp;UMa</m:t>
                  </m:r>
                  <m:r>
                    <m:rPr>
                      <m:sty m:val="p"/>
                    </m:rPr>
                    <w:rPr>
                      <w:rFonts w:ascii="Cambria Math" w:hAnsi="Cambria Math"/>
                    </w:rPr>
                    <m:t>,50%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50%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UMi&amp;UMa</m:t>
                      </m:r>
                    </m:sub>
                  </m:sSub>
                </m:e>
              </m:d>
            </m:oMath>
          </w:p>
          <w:p w14:paraId="2FB1FEED" w14:textId="77777777" w:rsidR="0031096D" w:rsidRDefault="0031096D" w:rsidP="0031096D">
            <w:pPr>
              <w:pStyle w:val="B1"/>
            </w:pPr>
            <w:r>
              <w:rPr>
                <w:iCs/>
              </w:rPr>
              <w:t>-</w:t>
            </w:r>
            <w:r>
              <w:rPr>
                <w:iCs/>
              </w:rPr>
              <w:tab/>
            </w:r>
            <m:oMath>
              <m: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UMi&amp;UMa</m:t>
                  </m:r>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TMT</m:t>
                  </m:r>
                </m:e>
                <m:sub>
                  <m:r>
                    <w:rPr>
                      <w:rFonts w:ascii="Cambria Math" w:hAnsi="Cambria Math"/>
                    </w:rPr>
                    <m:t>UMi&amp;UMa</m:t>
                  </m:r>
                </m:sub>
              </m:sSub>
              <m:r>
                <m:rPr>
                  <m:sty m:val="p"/>
                </m:rPr>
                <w:rPr>
                  <w:rFonts w:ascii="Cambria Math" w:hAnsi="Cambria Math"/>
                </w:rPr>
                <m:t>)</m:t>
              </m:r>
            </m:oMath>
          </w:p>
          <w:p w14:paraId="5A8DA489" w14:textId="77777777" w:rsidR="0031096D" w:rsidRDefault="0031096D" w:rsidP="0031096D">
            <w:r>
              <w:t xml:space="preserve">The final CTMT metric is the weighted average of the three CTMTs, i.e., </w:t>
            </w:r>
          </w:p>
          <w:p w14:paraId="06EDFED4" w14:textId="77777777" w:rsidR="0031096D" w:rsidRDefault="0031096D" w:rsidP="0031096D">
            <w:pPr>
              <w:pStyle w:val="EQ"/>
            </w:pPr>
            <m:oMathPara>
              <m:oMath>
                <m: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m:t>
                    </m:r>
                    <m:r>
                      <m:rPr>
                        <m:sty m:val="p"/>
                      </m:rPr>
                      <w:rPr>
                        <w:rFonts w:ascii="Cambria Math" w:hAnsi="Cambria Math"/>
                      </w:rPr>
                      <m:t>&amp;</m:t>
                    </m:r>
                    <m:r>
                      <w:rPr>
                        <w:rFonts w:ascii="Cambria Math" w:hAnsi="Cambria Math"/>
                      </w:rPr>
                      <m:t>UMa</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m:rPr>
                        <m:sty m:val="p"/>
                      </m:rPr>
                      <w:rPr>
                        <w:rFonts w:ascii="Cambria Math" w:hAnsi="Cambria Math"/>
                      </w:rPr>
                      <m:t>10</m:t>
                    </m:r>
                  </m:sub>
                </m:sSub>
                <m:sSub>
                  <m:sSubPr>
                    <m:ctrlPr>
                      <w:rPr>
                        <w:rFonts w:ascii="Cambria Math" w:hAnsi="Cambria Math"/>
                      </w:rPr>
                    </m:ctrlPr>
                  </m:sSubPr>
                  <m:e>
                    <m:r>
                      <w:rPr>
                        <w:rFonts w:ascii="Cambria Math" w:hAnsi="Cambria Math"/>
                      </w:rPr>
                      <m:t>CTMT</m:t>
                    </m:r>
                  </m:e>
                  <m:sub>
                    <m:r>
                      <m:rPr>
                        <m:sty m:val="p"/>
                      </m:rPr>
                      <w:rPr>
                        <w:rFonts w:ascii="Cambria Math" w:hAnsi="Cambria Math"/>
                      </w:rPr>
                      <m:t>UMi&amp;UMa,10%</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m:rPr>
                        <m:sty m:val="p"/>
                      </m:rPr>
                      <w:rPr>
                        <w:rFonts w:ascii="Cambria Math" w:hAnsi="Cambria Math"/>
                      </w:rPr>
                      <m:t>50</m:t>
                    </m:r>
                  </m:sub>
                </m:sSub>
                <m:sSub>
                  <m:sSubPr>
                    <m:ctrlPr>
                      <w:rPr>
                        <w:rFonts w:ascii="Cambria Math" w:hAnsi="Cambria Math"/>
                      </w:rPr>
                    </m:ctrlPr>
                  </m:sSubPr>
                  <m:e>
                    <m:r>
                      <w:rPr>
                        <w:rFonts w:ascii="Cambria Math" w:hAnsi="Cambria Math"/>
                      </w:rPr>
                      <m:t>CTMT</m:t>
                    </m:r>
                  </m:e>
                  <m:sub>
                    <m:r>
                      <m:rPr>
                        <m:sty m:val="p"/>
                      </m:rPr>
                      <w:rPr>
                        <w:rFonts w:ascii="Cambria Math" w:hAnsi="Cambria Math"/>
                      </w:rPr>
                      <m:t>UMi&amp;UMa,50%</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m:rPr>
                        <m:sty m:val="p"/>
                      </m:rPr>
                      <w:rPr>
                        <w:rFonts w:ascii="Cambria Math" w:hAnsi="Cambria Math"/>
                      </w:rPr>
                      <m:t>90</m:t>
                    </m:r>
                  </m:sub>
                </m:sSub>
                <m:sSub>
                  <m:sSubPr>
                    <m:ctrlPr>
                      <w:rPr>
                        <w:rFonts w:ascii="Cambria Math" w:hAnsi="Cambria Math"/>
                      </w:rPr>
                    </m:ctrlPr>
                  </m:sSubPr>
                  <m:e>
                    <m:r>
                      <w:rPr>
                        <w:rFonts w:ascii="Cambria Math" w:hAnsi="Cambria Math"/>
                      </w:rPr>
                      <m:t>CTMT</m:t>
                    </m:r>
                  </m:e>
                  <m:sub>
                    <m:r>
                      <m:rPr>
                        <m:sty m:val="p"/>
                      </m:rPr>
                      <w:rPr>
                        <w:rFonts w:ascii="Cambria Math" w:hAnsi="Cambria Math"/>
                      </w:rPr>
                      <m:t>UMi&amp;UMa,90%</m:t>
                    </m:r>
                  </m:sub>
                </m:sSub>
              </m:oMath>
            </m:oMathPara>
          </w:p>
          <w:p w14:paraId="7355C36F" w14:textId="77777777" w:rsidR="0031096D" w:rsidRDefault="0031096D" w:rsidP="0031096D">
            <w:r w:rsidRPr="0031096D">
              <w:rPr>
                <w:highlight w:val="yellow"/>
              </w:rPr>
              <w:t xml:space="preserve">with the weights </w:t>
            </w:r>
            <w:r w:rsidRPr="0031096D">
              <w:rPr>
                <w:i/>
                <w:iCs/>
                <w:highlight w:val="yellow"/>
              </w:rPr>
              <w:t>w</w:t>
            </w:r>
            <w:r w:rsidRPr="0031096D">
              <w:rPr>
                <w:highlight w:val="yellow"/>
                <w:vertAlign w:val="subscript"/>
              </w:rPr>
              <w:t>10</w:t>
            </w:r>
            <w:r w:rsidRPr="0031096D">
              <w:rPr>
                <w:highlight w:val="yellow"/>
              </w:rPr>
              <w:t xml:space="preserve">, </w:t>
            </w:r>
            <w:r w:rsidRPr="0031096D">
              <w:rPr>
                <w:i/>
                <w:iCs/>
                <w:highlight w:val="yellow"/>
              </w:rPr>
              <w:t>w</w:t>
            </w:r>
            <w:r w:rsidRPr="0031096D">
              <w:rPr>
                <w:highlight w:val="yellow"/>
                <w:vertAlign w:val="subscript"/>
              </w:rPr>
              <w:t>50</w:t>
            </w:r>
            <w:r w:rsidRPr="0031096D">
              <w:rPr>
                <w:highlight w:val="yellow"/>
              </w:rPr>
              <w:t xml:space="preserve">, </w:t>
            </w:r>
            <w:r w:rsidRPr="0031096D">
              <w:rPr>
                <w:i/>
                <w:iCs/>
                <w:highlight w:val="yellow"/>
              </w:rPr>
              <w:t>w</w:t>
            </w:r>
            <w:r w:rsidRPr="0031096D">
              <w:rPr>
                <w:highlight w:val="yellow"/>
                <w:vertAlign w:val="subscript"/>
              </w:rPr>
              <w:t>90</w:t>
            </w:r>
            <w:r w:rsidRPr="0031096D">
              <w:rPr>
                <w:highlight w:val="yellow"/>
              </w:rPr>
              <w:t xml:space="preserve"> FFS.</w:t>
            </w:r>
          </w:p>
          <w:p w14:paraId="747D359D" w14:textId="77777777" w:rsidR="0031096D" w:rsidRPr="0031096D" w:rsidRDefault="0031096D" w:rsidP="00DA7D18">
            <w:pPr>
              <w:jc w:val="left"/>
              <w:rPr>
                <w:rFonts w:eastAsiaTheme="minorEastAsia"/>
                <w:lang w:eastAsia="zh-CN"/>
              </w:rPr>
            </w:pPr>
          </w:p>
        </w:tc>
      </w:tr>
    </w:tbl>
    <w:p w14:paraId="64878825" w14:textId="3E7EDA2B" w:rsidR="0031096D" w:rsidRPr="0031096D" w:rsidRDefault="0031096D" w:rsidP="00DA7D18">
      <w:pPr>
        <w:jc w:val="left"/>
        <w:rPr>
          <w:rFonts w:eastAsiaTheme="minorEastAsia"/>
          <w:lang w:eastAsia="zh-CN"/>
        </w:rPr>
      </w:pPr>
    </w:p>
    <w:p w14:paraId="08C93A59" w14:textId="59846C07" w:rsidR="0031096D" w:rsidRDefault="0031096D" w:rsidP="0031096D">
      <w:pPr>
        <w:spacing w:after="120"/>
        <w:ind w:left="1418" w:hanging="1418"/>
        <w:rPr>
          <w:lang w:eastAsia="zh-CN"/>
        </w:rPr>
      </w:pPr>
      <w:r>
        <w:rPr>
          <w:b/>
          <w:bCs/>
        </w:rPr>
        <w:t>Observation 1</w:t>
      </w:r>
      <w:r w:rsidRPr="00DF1B01">
        <w:rPr>
          <w:b/>
          <w:bCs/>
        </w:rPr>
        <w:t>:</w:t>
      </w:r>
      <w:r w:rsidRPr="00DF1B01">
        <w:rPr>
          <w:b/>
          <w:bCs/>
        </w:rPr>
        <w:tab/>
      </w:r>
      <w:r>
        <w:rPr>
          <w:b/>
          <w:bCs/>
          <w:lang w:eastAsia="zh-CN"/>
        </w:rPr>
        <w:t>Both the HARQ parameter and the CTMT weighting factors are probably relying on practical measurement.</w:t>
      </w:r>
    </w:p>
    <w:p w14:paraId="23847E96" w14:textId="48B9B8D2" w:rsidR="0031096D" w:rsidRPr="0031096D" w:rsidRDefault="0031096D" w:rsidP="00DA7D18">
      <w:pPr>
        <w:jc w:val="left"/>
        <w:rPr>
          <w:rFonts w:eastAsiaTheme="minorEastAsia"/>
          <w:lang w:eastAsia="zh-CN"/>
        </w:rPr>
      </w:pPr>
      <w:r>
        <w:rPr>
          <w:rFonts w:eastAsiaTheme="minorEastAsia"/>
          <w:lang w:eastAsia="zh-CN"/>
        </w:rPr>
        <w:t xml:space="preserve">It would be natural to configure both 1 and 4 for </w:t>
      </w:r>
      <w:r w:rsidR="00587BB2">
        <w:rPr>
          <w:rFonts w:eastAsiaTheme="minorEastAsia"/>
          <w:lang w:eastAsia="zh-CN"/>
        </w:rPr>
        <w:t xml:space="preserve">the </w:t>
      </w:r>
      <w:r w:rsidRPr="00CE55A4">
        <w:rPr>
          <w:rFonts w:eastAsiaTheme="minorEastAsia"/>
          <w:szCs w:val="24"/>
          <w:lang w:eastAsia="zh-CN"/>
        </w:rPr>
        <w:t xml:space="preserve">Maximum </w:t>
      </w:r>
      <w:r w:rsidRPr="00CE55A4">
        <w:rPr>
          <w:rFonts w:eastAsiaTheme="minorEastAsia" w:hint="eastAsia"/>
          <w:szCs w:val="24"/>
          <w:lang w:eastAsia="zh-CN"/>
        </w:rPr>
        <w:t>N</w:t>
      </w:r>
      <w:r w:rsidRPr="00CE55A4">
        <w:rPr>
          <w:rFonts w:eastAsiaTheme="minorEastAsia"/>
          <w:szCs w:val="24"/>
          <w:lang w:eastAsia="zh-CN"/>
        </w:rPr>
        <w:t xml:space="preserve">umber of HARQ </w:t>
      </w:r>
      <w:r w:rsidRPr="00CE55A4">
        <w:rPr>
          <w:rFonts w:eastAsiaTheme="minorEastAsia" w:hint="eastAsia"/>
          <w:szCs w:val="24"/>
          <w:lang w:eastAsia="zh-CN"/>
        </w:rPr>
        <w:t>T</w:t>
      </w:r>
      <w:r w:rsidRPr="00CE55A4">
        <w:rPr>
          <w:rFonts w:eastAsiaTheme="minorEastAsia"/>
          <w:szCs w:val="24"/>
          <w:lang w:eastAsia="zh-CN"/>
        </w:rPr>
        <w:t>ransmission</w:t>
      </w:r>
      <w:r>
        <w:rPr>
          <w:rFonts w:eastAsiaTheme="minorEastAsia"/>
          <w:szCs w:val="24"/>
          <w:lang w:eastAsia="zh-CN"/>
        </w:rPr>
        <w:t xml:space="preserve"> parameter in the practical measurement for derivation </w:t>
      </w:r>
      <w:r w:rsidR="00587BB2">
        <w:rPr>
          <w:rFonts w:eastAsiaTheme="minorEastAsia"/>
          <w:szCs w:val="24"/>
          <w:lang w:eastAsia="zh-CN"/>
        </w:rPr>
        <w:t>of</w:t>
      </w:r>
      <w:r>
        <w:rPr>
          <w:rFonts w:eastAsiaTheme="minorEastAsia"/>
          <w:szCs w:val="24"/>
          <w:lang w:eastAsia="zh-CN"/>
        </w:rPr>
        <w:t xml:space="preserve"> weighting factors </w:t>
      </w:r>
      <m:oMath>
        <m:sSub>
          <m:sSubPr>
            <m:ctrlPr>
              <w:rPr>
                <w:rFonts w:ascii="Cambria Math" w:hAnsi="Cambria Math"/>
              </w:rPr>
            </m:ctrlPr>
          </m:sSubPr>
          <m:e>
            <m:r>
              <w:rPr>
                <w:rFonts w:ascii="Cambria Math" w:hAnsi="Cambria Math"/>
              </w:rPr>
              <m:t>w</m:t>
            </m:r>
          </m:e>
          <m:sub>
            <m:r>
              <m:rPr>
                <m:sty m:val="p"/>
              </m:rPr>
              <w:rPr>
                <w:rFonts w:ascii="Cambria Math" w:hAnsi="Cambria Math"/>
              </w:rPr>
              <m:t>10</m:t>
            </m:r>
          </m:sub>
        </m:sSub>
      </m:oMath>
      <w:r>
        <w:rPr>
          <w:rFonts w:eastAsiaTheme="minorEastAsia"/>
          <w:szCs w:val="24"/>
          <w:lang w:eastAsia="zh-CN"/>
        </w:rPr>
        <w:t xml:space="preserve">, </w:t>
      </w:r>
      <m:oMath>
        <m:sSub>
          <m:sSubPr>
            <m:ctrlPr>
              <w:rPr>
                <w:rFonts w:ascii="Cambria Math" w:hAnsi="Cambria Math"/>
              </w:rPr>
            </m:ctrlPr>
          </m:sSubPr>
          <m:e>
            <m:r>
              <w:rPr>
                <w:rFonts w:ascii="Cambria Math" w:hAnsi="Cambria Math"/>
              </w:rPr>
              <m:t>w</m:t>
            </m:r>
          </m:e>
          <m:sub>
            <m:r>
              <m:rPr>
                <m:sty m:val="p"/>
              </m:rPr>
              <w:rPr>
                <w:rFonts w:ascii="Cambria Math" w:hAnsi="Cambria Math"/>
              </w:rPr>
              <m:t>50</m:t>
            </m:r>
          </m:sub>
        </m:sSub>
      </m:oMath>
      <w:r>
        <w:rPr>
          <w:rFonts w:eastAsiaTheme="minorEastAsia"/>
          <w:szCs w:val="24"/>
          <w:lang w:eastAsia="zh-CN"/>
        </w:rPr>
        <w:t xml:space="preserve">, </w:t>
      </w:r>
      <m:oMath>
        <m:sSub>
          <m:sSubPr>
            <m:ctrlPr>
              <w:rPr>
                <w:rFonts w:ascii="Cambria Math" w:hAnsi="Cambria Math"/>
              </w:rPr>
            </m:ctrlPr>
          </m:sSubPr>
          <m:e>
            <m:r>
              <w:rPr>
                <w:rFonts w:ascii="Cambria Math" w:hAnsi="Cambria Math"/>
              </w:rPr>
              <m:t>w</m:t>
            </m:r>
          </m:e>
          <m:sub>
            <m:r>
              <m:rPr>
                <m:sty m:val="p"/>
              </m:rPr>
              <w:rPr>
                <w:rFonts w:ascii="Cambria Math" w:hAnsi="Cambria Math"/>
              </w:rPr>
              <m:t>90</m:t>
            </m:r>
          </m:sub>
        </m:sSub>
      </m:oMath>
      <w:r w:rsidR="00587BB2">
        <w:rPr>
          <w:rFonts w:eastAsiaTheme="minorEastAsia"/>
          <w:szCs w:val="24"/>
          <w:lang w:eastAsia="zh-CN"/>
        </w:rPr>
        <w:t xml:space="preserve"> if going with measurement approach.</w:t>
      </w:r>
    </w:p>
    <w:p w14:paraId="6F4191BE" w14:textId="4D624E37" w:rsidR="00587BB2" w:rsidRPr="00587BB2" w:rsidRDefault="00587BB2" w:rsidP="00587BB2">
      <w:pPr>
        <w:spacing w:after="120"/>
        <w:ind w:left="1418" w:hanging="1418"/>
        <w:rPr>
          <w:b/>
          <w:bCs/>
          <w:lang w:eastAsia="zh-CN"/>
        </w:rPr>
      </w:pPr>
      <w:r>
        <w:rPr>
          <w:b/>
          <w:bCs/>
        </w:rPr>
        <w:t>Proposal 1</w:t>
      </w:r>
      <w:r w:rsidRPr="00DF1B01">
        <w:rPr>
          <w:b/>
          <w:bCs/>
        </w:rPr>
        <w:t>:</w:t>
      </w:r>
      <w:r w:rsidRPr="00DF1B01">
        <w:rPr>
          <w:b/>
          <w:bCs/>
        </w:rPr>
        <w:tab/>
      </w:r>
      <w:r w:rsidRPr="00587BB2">
        <w:rPr>
          <w:rFonts w:eastAsiaTheme="minorEastAsia"/>
          <w:b/>
          <w:bCs/>
          <w:lang w:eastAsia="zh-CN"/>
        </w:rPr>
        <w:t xml:space="preserve">configure both 1 and 4 for the </w:t>
      </w:r>
      <w:r w:rsidRPr="00587BB2">
        <w:rPr>
          <w:rFonts w:eastAsiaTheme="minorEastAsia"/>
          <w:b/>
          <w:bCs/>
          <w:szCs w:val="24"/>
          <w:lang w:eastAsia="zh-CN"/>
        </w:rPr>
        <w:t xml:space="preserve">Maximum </w:t>
      </w:r>
      <w:r w:rsidRPr="00587BB2">
        <w:rPr>
          <w:rFonts w:eastAsiaTheme="minorEastAsia" w:hint="eastAsia"/>
          <w:b/>
          <w:bCs/>
          <w:szCs w:val="24"/>
          <w:lang w:eastAsia="zh-CN"/>
        </w:rPr>
        <w:t>N</w:t>
      </w:r>
      <w:r w:rsidRPr="00587BB2">
        <w:rPr>
          <w:rFonts w:eastAsiaTheme="minorEastAsia"/>
          <w:b/>
          <w:bCs/>
          <w:szCs w:val="24"/>
          <w:lang w:eastAsia="zh-CN"/>
        </w:rPr>
        <w:t xml:space="preserve">umber of HARQ </w:t>
      </w:r>
      <w:r w:rsidRPr="00587BB2">
        <w:rPr>
          <w:rFonts w:eastAsiaTheme="minorEastAsia" w:hint="eastAsia"/>
          <w:b/>
          <w:bCs/>
          <w:szCs w:val="24"/>
          <w:lang w:eastAsia="zh-CN"/>
        </w:rPr>
        <w:t>T</w:t>
      </w:r>
      <w:r w:rsidRPr="00587BB2">
        <w:rPr>
          <w:rFonts w:eastAsiaTheme="minorEastAsia"/>
          <w:b/>
          <w:bCs/>
          <w:szCs w:val="24"/>
          <w:lang w:eastAsia="zh-CN"/>
        </w:rPr>
        <w:t xml:space="preserve">ransmission parameter in the practical measurement for derivation of weighting factors </w:t>
      </w:r>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10</m:t>
            </m:r>
          </m:sub>
        </m:sSub>
      </m:oMath>
      <w:r w:rsidRPr="00587BB2">
        <w:rPr>
          <w:rFonts w:eastAsiaTheme="minorEastAsia"/>
          <w:b/>
          <w:bCs/>
          <w:szCs w:val="24"/>
          <w:lang w:eastAsia="zh-CN"/>
        </w:rPr>
        <w:t xml:space="preserve">, </w:t>
      </w:r>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50</m:t>
            </m:r>
          </m:sub>
        </m:sSub>
      </m:oMath>
      <w:r w:rsidRPr="00587BB2">
        <w:rPr>
          <w:rFonts w:eastAsiaTheme="minorEastAsia"/>
          <w:b/>
          <w:bCs/>
          <w:szCs w:val="24"/>
          <w:lang w:eastAsia="zh-CN"/>
        </w:rPr>
        <w:t xml:space="preserve">, </w:t>
      </w:r>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90</m:t>
            </m:r>
          </m:sub>
        </m:sSub>
      </m:oMath>
      <w:r w:rsidRPr="00587BB2">
        <w:rPr>
          <w:rFonts w:eastAsiaTheme="minorEastAsia"/>
          <w:b/>
          <w:bCs/>
          <w:szCs w:val="24"/>
          <w:lang w:eastAsia="zh-CN"/>
        </w:rPr>
        <w:t xml:space="preserve"> if going with measurement approach.</w:t>
      </w:r>
    </w:p>
    <w:p w14:paraId="7D5755C3" w14:textId="7E884CBC" w:rsidR="00CD2D05" w:rsidRPr="00587BB2" w:rsidRDefault="00587BB2" w:rsidP="00DA7D18">
      <w:pPr>
        <w:jc w:val="left"/>
        <w:rPr>
          <w:rFonts w:eastAsiaTheme="minorEastAsia"/>
          <w:lang w:eastAsia="zh-CN"/>
        </w:rPr>
      </w:pPr>
      <w:r>
        <w:rPr>
          <w:rFonts w:eastAsiaTheme="minorEastAsia" w:hint="eastAsia"/>
          <w:lang w:eastAsia="zh-CN"/>
        </w:rPr>
        <w:t>B</w:t>
      </w:r>
      <w:r>
        <w:rPr>
          <w:rFonts w:eastAsiaTheme="minorEastAsia"/>
          <w:lang w:eastAsia="zh-CN"/>
        </w:rPr>
        <w:t>esides, the sum of weighting factors should equal to 1.</w:t>
      </w:r>
    </w:p>
    <w:p w14:paraId="397F8585" w14:textId="21A71CD1" w:rsidR="00587BB2" w:rsidRDefault="00587BB2" w:rsidP="00587BB2">
      <w:pPr>
        <w:spacing w:after="120"/>
        <w:ind w:left="1418" w:hanging="1418"/>
        <w:rPr>
          <w:lang w:eastAsia="zh-CN"/>
        </w:rPr>
      </w:pPr>
      <w:r>
        <w:rPr>
          <w:b/>
          <w:bCs/>
        </w:rPr>
        <w:t>Proposal 2</w:t>
      </w:r>
      <w:r w:rsidRPr="00DF1B01">
        <w:rPr>
          <w:b/>
          <w:bCs/>
        </w:rPr>
        <w:t>:</w:t>
      </w:r>
      <w:r w:rsidRPr="00DF1B01">
        <w:rPr>
          <w:b/>
          <w:bCs/>
        </w:rPr>
        <w:tab/>
      </w:r>
      <w:r>
        <w:rPr>
          <w:rFonts w:hint="eastAsia"/>
          <w:b/>
          <w:bCs/>
          <w:lang w:eastAsia="zh-CN"/>
        </w:rPr>
        <w:t>t</w:t>
      </w:r>
      <w:r>
        <w:rPr>
          <w:b/>
          <w:bCs/>
          <w:lang w:eastAsia="zh-CN"/>
        </w:rPr>
        <w:t xml:space="preserve">he sum </w:t>
      </w:r>
      <w:r w:rsidRPr="00587BB2">
        <w:rPr>
          <w:rFonts w:eastAsiaTheme="minorEastAsia"/>
          <w:b/>
          <w:bCs/>
          <w:szCs w:val="24"/>
          <w:lang w:eastAsia="zh-CN"/>
        </w:rPr>
        <w:t xml:space="preserve">of weighting factors </w:t>
      </w:r>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10</m:t>
            </m:r>
          </m:sub>
        </m:sSub>
      </m:oMath>
      <w:r w:rsidRPr="00587BB2">
        <w:rPr>
          <w:rFonts w:eastAsiaTheme="minorEastAsia"/>
          <w:b/>
          <w:bCs/>
          <w:szCs w:val="24"/>
          <w:lang w:eastAsia="zh-CN"/>
        </w:rPr>
        <w:t xml:space="preserve">, </w:t>
      </w:r>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50</m:t>
            </m:r>
          </m:sub>
        </m:sSub>
      </m:oMath>
      <w:r w:rsidRPr="00587BB2">
        <w:rPr>
          <w:rFonts w:eastAsiaTheme="minorEastAsia"/>
          <w:b/>
          <w:bCs/>
          <w:szCs w:val="24"/>
          <w:lang w:eastAsia="zh-CN"/>
        </w:rPr>
        <w:t xml:space="preserve">, </w:t>
      </w:r>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90</m:t>
            </m:r>
          </m:sub>
        </m:sSub>
      </m:oMath>
      <w:r w:rsidRPr="00587BB2">
        <w:rPr>
          <w:rFonts w:eastAsiaTheme="minorEastAsia"/>
          <w:b/>
          <w:bCs/>
          <w:szCs w:val="24"/>
          <w:lang w:eastAsia="zh-CN"/>
        </w:rPr>
        <w:t xml:space="preserve"> </w:t>
      </w:r>
      <w:r>
        <w:rPr>
          <w:rFonts w:eastAsiaTheme="minorEastAsia"/>
          <w:b/>
          <w:bCs/>
          <w:szCs w:val="24"/>
          <w:lang w:eastAsia="zh-CN"/>
        </w:rPr>
        <w:t>should equal to 1.</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14D9C562" w14:textId="77777777" w:rsidR="00587BB2" w:rsidRDefault="00587BB2" w:rsidP="00587BB2">
      <w:pPr>
        <w:spacing w:after="120"/>
        <w:ind w:left="1418" w:hanging="1418"/>
        <w:rPr>
          <w:lang w:eastAsia="zh-CN"/>
        </w:rPr>
      </w:pPr>
      <w:r>
        <w:rPr>
          <w:b/>
          <w:bCs/>
        </w:rPr>
        <w:t>Observation 1</w:t>
      </w:r>
      <w:r w:rsidRPr="00DF1B01">
        <w:rPr>
          <w:b/>
          <w:bCs/>
        </w:rPr>
        <w:t>:</w:t>
      </w:r>
      <w:r w:rsidRPr="00DF1B01">
        <w:rPr>
          <w:b/>
          <w:bCs/>
        </w:rPr>
        <w:tab/>
      </w:r>
      <w:r>
        <w:rPr>
          <w:b/>
          <w:bCs/>
          <w:lang w:eastAsia="zh-CN"/>
        </w:rPr>
        <w:t>Both the HARQ parameter and the CTMT weighting factors are probably relying on practical measurement.</w:t>
      </w:r>
    </w:p>
    <w:p w14:paraId="26C24230" w14:textId="77777777" w:rsidR="00587BB2" w:rsidRPr="00587BB2" w:rsidRDefault="00587BB2" w:rsidP="00587BB2">
      <w:pPr>
        <w:spacing w:after="120"/>
        <w:ind w:left="1418" w:hanging="1418"/>
        <w:rPr>
          <w:b/>
          <w:bCs/>
          <w:lang w:eastAsia="zh-CN"/>
        </w:rPr>
      </w:pPr>
      <w:r>
        <w:rPr>
          <w:b/>
          <w:bCs/>
        </w:rPr>
        <w:lastRenderedPageBreak/>
        <w:t>Proposal 1</w:t>
      </w:r>
      <w:r w:rsidRPr="00DF1B01">
        <w:rPr>
          <w:b/>
          <w:bCs/>
        </w:rPr>
        <w:t>:</w:t>
      </w:r>
      <w:r w:rsidRPr="00DF1B01">
        <w:rPr>
          <w:b/>
          <w:bCs/>
        </w:rPr>
        <w:tab/>
      </w:r>
      <w:r w:rsidRPr="00587BB2">
        <w:rPr>
          <w:rFonts w:eastAsiaTheme="minorEastAsia"/>
          <w:b/>
          <w:bCs/>
          <w:lang w:eastAsia="zh-CN"/>
        </w:rPr>
        <w:t xml:space="preserve">configure both 1 and 4 for the </w:t>
      </w:r>
      <w:r w:rsidRPr="00587BB2">
        <w:rPr>
          <w:rFonts w:eastAsiaTheme="minorEastAsia"/>
          <w:b/>
          <w:bCs/>
          <w:szCs w:val="24"/>
          <w:lang w:eastAsia="zh-CN"/>
        </w:rPr>
        <w:t xml:space="preserve">Maximum </w:t>
      </w:r>
      <w:r w:rsidRPr="00587BB2">
        <w:rPr>
          <w:rFonts w:eastAsiaTheme="minorEastAsia" w:hint="eastAsia"/>
          <w:b/>
          <w:bCs/>
          <w:szCs w:val="24"/>
          <w:lang w:eastAsia="zh-CN"/>
        </w:rPr>
        <w:t>N</w:t>
      </w:r>
      <w:r w:rsidRPr="00587BB2">
        <w:rPr>
          <w:rFonts w:eastAsiaTheme="minorEastAsia"/>
          <w:b/>
          <w:bCs/>
          <w:szCs w:val="24"/>
          <w:lang w:eastAsia="zh-CN"/>
        </w:rPr>
        <w:t xml:space="preserve">umber of HARQ </w:t>
      </w:r>
      <w:r w:rsidRPr="00587BB2">
        <w:rPr>
          <w:rFonts w:eastAsiaTheme="minorEastAsia" w:hint="eastAsia"/>
          <w:b/>
          <w:bCs/>
          <w:szCs w:val="24"/>
          <w:lang w:eastAsia="zh-CN"/>
        </w:rPr>
        <w:t>T</w:t>
      </w:r>
      <w:r w:rsidRPr="00587BB2">
        <w:rPr>
          <w:rFonts w:eastAsiaTheme="minorEastAsia"/>
          <w:b/>
          <w:bCs/>
          <w:szCs w:val="24"/>
          <w:lang w:eastAsia="zh-CN"/>
        </w:rPr>
        <w:t xml:space="preserve">ransmission parameter in the practical measurement for derivation of weighting factors </w:t>
      </w:r>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10</m:t>
            </m:r>
          </m:sub>
        </m:sSub>
      </m:oMath>
      <w:r w:rsidRPr="00587BB2">
        <w:rPr>
          <w:rFonts w:eastAsiaTheme="minorEastAsia"/>
          <w:b/>
          <w:bCs/>
          <w:szCs w:val="24"/>
          <w:lang w:eastAsia="zh-CN"/>
        </w:rPr>
        <w:t xml:space="preserve">, </w:t>
      </w:r>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50</m:t>
            </m:r>
          </m:sub>
        </m:sSub>
      </m:oMath>
      <w:r w:rsidRPr="00587BB2">
        <w:rPr>
          <w:rFonts w:eastAsiaTheme="minorEastAsia"/>
          <w:b/>
          <w:bCs/>
          <w:szCs w:val="24"/>
          <w:lang w:eastAsia="zh-CN"/>
        </w:rPr>
        <w:t xml:space="preserve">, </w:t>
      </w:r>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90</m:t>
            </m:r>
          </m:sub>
        </m:sSub>
      </m:oMath>
      <w:r w:rsidRPr="00587BB2">
        <w:rPr>
          <w:rFonts w:eastAsiaTheme="minorEastAsia"/>
          <w:b/>
          <w:bCs/>
          <w:szCs w:val="24"/>
          <w:lang w:eastAsia="zh-CN"/>
        </w:rPr>
        <w:t xml:space="preserve"> if going with measurement approach.</w:t>
      </w:r>
    </w:p>
    <w:p w14:paraId="7EE018E4" w14:textId="77777777" w:rsidR="00587BB2" w:rsidRDefault="00587BB2" w:rsidP="00587BB2">
      <w:pPr>
        <w:spacing w:after="120"/>
        <w:ind w:left="1418" w:hanging="1418"/>
        <w:rPr>
          <w:lang w:eastAsia="zh-CN"/>
        </w:rPr>
      </w:pPr>
      <w:r>
        <w:rPr>
          <w:b/>
          <w:bCs/>
        </w:rPr>
        <w:t>Proposal 2</w:t>
      </w:r>
      <w:r w:rsidRPr="00DF1B01">
        <w:rPr>
          <w:b/>
          <w:bCs/>
        </w:rPr>
        <w:t>:</w:t>
      </w:r>
      <w:r w:rsidRPr="00DF1B01">
        <w:rPr>
          <w:b/>
          <w:bCs/>
        </w:rPr>
        <w:tab/>
      </w:r>
      <w:r>
        <w:rPr>
          <w:rFonts w:hint="eastAsia"/>
          <w:b/>
          <w:bCs/>
          <w:lang w:eastAsia="zh-CN"/>
        </w:rPr>
        <w:t>t</w:t>
      </w:r>
      <w:r>
        <w:rPr>
          <w:b/>
          <w:bCs/>
          <w:lang w:eastAsia="zh-CN"/>
        </w:rPr>
        <w:t xml:space="preserve">he sum </w:t>
      </w:r>
      <w:r w:rsidRPr="00587BB2">
        <w:rPr>
          <w:rFonts w:eastAsiaTheme="minorEastAsia"/>
          <w:b/>
          <w:bCs/>
          <w:szCs w:val="24"/>
          <w:lang w:eastAsia="zh-CN"/>
        </w:rPr>
        <w:t xml:space="preserve">of weighting factors </w:t>
      </w:r>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10</m:t>
            </m:r>
          </m:sub>
        </m:sSub>
      </m:oMath>
      <w:r w:rsidRPr="00587BB2">
        <w:rPr>
          <w:rFonts w:eastAsiaTheme="minorEastAsia"/>
          <w:b/>
          <w:bCs/>
          <w:szCs w:val="24"/>
          <w:lang w:eastAsia="zh-CN"/>
        </w:rPr>
        <w:t xml:space="preserve">, </w:t>
      </w:r>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50</m:t>
            </m:r>
          </m:sub>
        </m:sSub>
      </m:oMath>
      <w:r w:rsidRPr="00587BB2">
        <w:rPr>
          <w:rFonts w:eastAsiaTheme="minorEastAsia"/>
          <w:b/>
          <w:bCs/>
          <w:szCs w:val="24"/>
          <w:lang w:eastAsia="zh-CN"/>
        </w:rPr>
        <w:t xml:space="preserve">, </w:t>
      </w:r>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90</m:t>
            </m:r>
          </m:sub>
        </m:sSub>
      </m:oMath>
      <w:r w:rsidRPr="00587BB2">
        <w:rPr>
          <w:rFonts w:eastAsiaTheme="minorEastAsia"/>
          <w:b/>
          <w:bCs/>
          <w:szCs w:val="24"/>
          <w:lang w:eastAsia="zh-CN"/>
        </w:rPr>
        <w:t xml:space="preserve"> </w:t>
      </w:r>
      <w:r>
        <w:rPr>
          <w:rFonts w:eastAsiaTheme="minorEastAsia"/>
          <w:b/>
          <w:bCs/>
          <w:szCs w:val="24"/>
          <w:lang w:eastAsia="zh-CN"/>
        </w:rPr>
        <w:t>should equal to 1.</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7627D7AD" w:rsidR="00C339B9" w:rsidRDefault="000A3316" w:rsidP="000932A9">
      <w:pPr>
        <w:pStyle w:val="21"/>
        <w:overflowPunct w:val="0"/>
        <w:autoSpaceDE w:val="0"/>
        <w:autoSpaceDN w:val="0"/>
        <w:adjustRightInd w:val="0"/>
        <w:spacing w:line="240" w:lineRule="auto"/>
        <w:ind w:leftChars="-10" w:left="264"/>
        <w:jc w:val="left"/>
        <w:textAlignment w:val="baseline"/>
        <w:rPr>
          <w:rFonts w:eastAsia="Malgun Gothic"/>
          <w:lang w:eastAsia="ko-KR"/>
        </w:rPr>
      </w:pPr>
      <w:r w:rsidRPr="00C52357">
        <w:rPr>
          <w:rFonts w:eastAsia="Malgun Gothic"/>
          <w:lang w:eastAsia="ko-KR"/>
        </w:rPr>
        <w:t xml:space="preserve">[1] </w:t>
      </w:r>
      <w:r w:rsidR="004A75CA">
        <w:t>RP-25</w:t>
      </w:r>
      <w:r w:rsidR="000932A9">
        <w:t>2875</w:t>
      </w:r>
      <w:r w:rsidR="00240ACF">
        <w:rPr>
          <w:rFonts w:eastAsia="Malgun Gothic"/>
          <w:lang w:eastAsia="ko-KR"/>
        </w:rPr>
        <w:tab/>
      </w:r>
      <w:r w:rsidR="000932A9">
        <w:rPr>
          <w:rFonts w:eastAsia="Malgun Gothic"/>
          <w:lang w:eastAsia="ko-KR"/>
        </w:rPr>
        <w:t>TR 38.762 v1.1.1</w:t>
      </w:r>
      <w:r w:rsidR="00240ACF">
        <w:rPr>
          <w:rFonts w:eastAsia="Malgun Gothic"/>
          <w:lang w:eastAsia="ko-KR"/>
        </w:rPr>
        <w:tab/>
      </w:r>
      <w:r w:rsidR="00240ACF">
        <w:rPr>
          <w:rFonts w:eastAsia="Malgun Gothic"/>
          <w:lang w:eastAsia="ko-KR"/>
        </w:rPr>
        <w:tab/>
      </w:r>
      <w:r w:rsidR="000932A9" w:rsidRPr="000932A9">
        <w:rPr>
          <w:rFonts w:eastAsia="Malgun Gothic"/>
          <w:lang w:eastAsia="ko-KR"/>
        </w:rPr>
        <w:t>Multiple Input Multiple Output (MIMO) Over-the-Air (OTA) dynamic test methodology for FR1 UEs (Release 19)</w:t>
      </w:r>
      <w:r w:rsidR="000932A9">
        <w:rPr>
          <w:rFonts w:eastAsia="Malgun Gothic"/>
          <w:lang w:eastAsia="ko-KR"/>
        </w:rPr>
        <w:tab/>
      </w:r>
      <w:r w:rsidR="006A35D8">
        <w:rPr>
          <w:rFonts w:eastAsia="Malgun Gothic"/>
          <w:lang w:eastAsia="ko-KR"/>
        </w:rPr>
        <w:t>RAN#10</w:t>
      </w:r>
      <w:r w:rsidR="00240ACF">
        <w:rPr>
          <w:rFonts w:eastAsia="Malgun Gothic"/>
          <w:lang w:eastAsia="ko-KR"/>
        </w:rPr>
        <w:t>9</w:t>
      </w:r>
    </w:p>
    <w:p w14:paraId="7189FF35" w14:textId="5D36C207" w:rsidR="00587BB2" w:rsidRPr="00832D1C" w:rsidRDefault="00587BB2" w:rsidP="000932A9">
      <w:pPr>
        <w:pStyle w:val="21"/>
        <w:overflowPunct w:val="0"/>
        <w:autoSpaceDE w:val="0"/>
        <w:autoSpaceDN w:val="0"/>
        <w:adjustRightInd w:val="0"/>
        <w:spacing w:line="240" w:lineRule="auto"/>
        <w:ind w:leftChars="-10" w:left="264"/>
        <w:jc w:val="left"/>
        <w:textAlignment w:val="baseline"/>
      </w:pPr>
      <w:r>
        <w:rPr>
          <w:rFonts w:eastAsiaTheme="minorEastAsia" w:hint="eastAsia"/>
          <w:lang w:eastAsia="zh-CN"/>
        </w:rPr>
        <w:t>[</w:t>
      </w:r>
      <w:r>
        <w:rPr>
          <w:rFonts w:eastAsiaTheme="minorEastAsia"/>
          <w:lang w:eastAsia="zh-CN"/>
        </w:rPr>
        <w:t>2</w:t>
      </w:r>
      <w:r w:rsidRPr="00832D1C">
        <w:t xml:space="preserve">] </w:t>
      </w:r>
      <w:r w:rsidR="00832D1C" w:rsidRPr="00832D1C">
        <w:t>R4-2416579</w:t>
      </w:r>
      <w:r w:rsidR="00832D1C">
        <w:t xml:space="preserve">    </w:t>
      </w:r>
      <w:r w:rsidR="00832D1C" w:rsidRPr="00832D1C">
        <w:t>WF for [112bis][324] MIMO_OTA_Ph3</w:t>
      </w:r>
      <w:r w:rsidR="00832D1C">
        <w:t>, CAICT</w:t>
      </w:r>
    </w:p>
    <w:sectPr w:rsidR="00587BB2" w:rsidRPr="00832D1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D9CFF" w14:textId="77777777" w:rsidR="00063B3D" w:rsidRDefault="00063B3D" w:rsidP="00FC2656">
      <w:pPr>
        <w:spacing w:after="0" w:line="240" w:lineRule="auto"/>
      </w:pPr>
      <w:r>
        <w:separator/>
      </w:r>
    </w:p>
  </w:endnote>
  <w:endnote w:type="continuationSeparator" w:id="0">
    <w:p w14:paraId="243A6B39" w14:textId="77777777" w:rsidR="00063B3D" w:rsidRDefault="00063B3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892B5" w14:textId="77777777" w:rsidR="00063B3D" w:rsidRDefault="00063B3D" w:rsidP="00FC2656">
      <w:pPr>
        <w:spacing w:after="0" w:line="240" w:lineRule="auto"/>
      </w:pPr>
      <w:r>
        <w:separator/>
      </w:r>
    </w:p>
  </w:footnote>
  <w:footnote w:type="continuationSeparator" w:id="0">
    <w:p w14:paraId="7EC13BD7" w14:textId="77777777" w:rsidR="00063B3D" w:rsidRDefault="00063B3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D82E22"/>
    <w:multiLevelType w:val="hybridMultilevel"/>
    <w:tmpl w:val="CDBE96B8"/>
    <w:lvl w:ilvl="0" w:tplc="D3D4E9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2"/>
  </w:num>
  <w:num w:numId="3">
    <w:abstractNumId w:val="31"/>
  </w:num>
  <w:num w:numId="4">
    <w:abstractNumId w:val="10"/>
  </w:num>
  <w:num w:numId="5">
    <w:abstractNumId w:val="30"/>
  </w:num>
  <w:num w:numId="6">
    <w:abstractNumId w:val="27"/>
  </w:num>
  <w:num w:numId="7">
    <w:abstractNumId w:val="25"/>
  </w:num>
  <w:num w:numId="8">
    <w:abstractNumId w:val="29"/>
  </w:num>
  <w:num w:numId="9">
    <w:abstractNumId w:val="33"/>
  </w:num>
  <w:num w:numId="10">
    <w:abstractNumId w:val="16"/>
  </w:num>
  <w:num w:numId="11">
    <w:abstractNumId w:val="18"/>
  </w:num>
  <w:num w:numId="12">
    <w:abstractNumId w:val="4"/>
  </w:num>
  <w:num w:numId="13">
    <w:abstractNumId w:val="23"/>
  </w:num>
  <w:num w:numId="14">
    <w:abstractNumId w:val="2"/>
  </w:num>
  <w:num w:numId="15">
    <w:abstractNumId w:val="26"/>
  </w:num>
  <w:num w:numId="16">
    <w:abstractNumId w:val="1"/>
  </w:num>
  <w:num w:numId="17">
    <w:abstractNumId w:val="22"/>
  </w:num>
  <w:num w:numId="18">
    <w:abstractNumId w:val="13"/>
  </w:num>
  <w:num w:numId="19">
    <w:abstractNumId w:val="24"/>
  </w:num>
  <w:num w:numId="20">
    <w:abstractNumId w:val="3"/>
  </w:num>
  <w:num w:numId="21">
    <w:abstractNumId w:val="36"/>
  </w:num>
  <w:num w:numId="22">
    <w:abstractNumId w:val="12"/>
  </w:num>
  <w:num w:numId="23">
    <w:abstractNumId w:val="11"/>
  </w:num>
  <w:num w:numId="24">
    <w:abstractNumId w:val="6"/>
  </w:num>
  <w:num w:numId="25">
    <w:abstractNumId w:val="34"/>
  </w:num>
  <w:num w:numId="26">
    <w:abstractNumId w:val="14"/>
  </w:num>
  <w:num w:numId="27">
    <w:abstractNumId w:val="35"/>
  </w:num>
  <w:num w:numId="28">
    <w:abstractNumId w:val="15"/>
  </w:num>
  <w:num w:numId="29">
    <w:abstractNumId w:val="19"/>
  </w:num>
  <w:num w:numId="30">
    <w:abstractNumId w:val="20"/>
  </w:num>
  <w:num w:numId="31">
    <w:abstractNumId w:val="8"/>
  </w:num>
  <w:num w:numId="32">
    <w:abstractNumId w:val="28"/>
  </w:num>
  <w:num w:numId="33">
    <w:abstractNumId w:val="21"/>
  </w:num>
  <w:num w:numId="34">
    <w:abstractNumId w:val="7"/>
  </w:num>
  <w:num w:numId="35">
    <w:abstractNumId w:val="5"/>
  </w:num>
  <w:num w:numId="36">
    <w:abstractNumId w:val="0"/>
  </w:num>
  <w:num w:numId="3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19E5"/>
    <w:rsid w:val="0006266D"/>
    <w:rsid w:val="000635D9"/>
    <w:rsid w:val="0006399B"/>
    <w:rsid w:val="00063B3D"/>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2A9"/>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4091"/>
    <w:rsid w:val="001D6441"/>
    <w:rsid w:val="001D7D94"/>
    <w:rsid w:val="001E01A6"/>
    <w:rsid w:val="001E036A"/>
    <w:rsid w:val="001E0A28"/>
    <w:rsid w:val="001E0E91"/>
    <w:rsid w:val="001E1397"/>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7BCA"/>
    <w:rsid w:val="00307E51"/>
    <w:rsid w:val="00307F57"/>
    <w:rsid w:val="0031096D"/>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11A2"/>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5E3B"/>
    <w:rsid w:val="00495EA4"/>
    <w:rsid w:val="0049693D"/>
    <w:rsid w:val="004A1A07"/>
    <w:rsid w:val="004A1E6A"/>
    <w:rsid w:val="004A258E"/>
    <w:rsid w:val="004A37AC"/>
    <w:rsid w:val="004A4062"/>
    <w:rsid w:val="004A495F"/>
    <w:rsid w:val="004A5968"/>
    <w:rsid w:val="004A7544"/>
    <w:rsid w:val="004A75CA"/>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519C"/>
    <w:rsid w:val="005852B5"/>
    <w:rsid w:val="00585CC1"/>
    <w:rsid w:val="00586940"/>
    <w:rsid w:val="00587BB2"/>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5A82"/>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2F53"/>
    <w:rsid w:val="007549D3"/>
    <w:rsid w:val="00755526"/>
    <w:rsid w:val="0075680B"/>
    <w:rsid w:val="00757083"/>
    <w:rsid w:val="00760284"/>
    <w:rsid w:val="007605DC"/>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D70"/>
    <w:rsid w:val="00794501"/>
    <w:rsid w:val="00795CCD"/>
    <w:rsid w:val="0079701B"/>
    <w:rsid w:val="00797676"/>
    <w:rsid w:val="00797C64"/>
    <w:rsid w:val="007A0938"/>
    <w:rsid w:val="007A1EAA"/>
    <w:rsid w:val="007A265C"/>
    <w:rsid w:val="007A30A6"/>
    <w:rsid w:val="007A3910"/>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4379"/>
    <w:rsid w:val="007C516F"/>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2D1C"/>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14F6"/>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2762"/>
    <w:rsid w:val="00884611"/>
    <w:rsid w:val="00884648"/>
    <w:rsid w:val="008852E6"/>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AB6"/>
    <w:rsid w:val="0095778A"/>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EDE"/>
    <w:rsid w:val="009B1DF8"/>
    <w:rsid w:val="009B37B2"/>
    <w:rsid w:val="009B3D20"/>
    <w:rsid w:val="009B3D74"/>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3F2"/>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3176"/>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7A2"/>
    <w:rsid w:val="00CC7B4E"/>
    <w:rsid w:val="00CD0374"/>
    <w:rsid w:val="00CD096B"/>
    <w:rsid w:val="00CD0B96"/>
    <w:rsid w:val="00CD13D3"/>
    <w:rsid w:val="00CD16D8"/>
    <w:rsid w:val="00CD1D26"/>
    <w:rsid w:val="00CD1E7C"/>
    <w:rsid w:val="00CD292F"/>
    <w:rsid w:val="00CD2D05"/>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4B45"/>
    <w:rsid w:val="00D04F5F"/>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29C"/>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89B"/>
    <w:rsid w:val="00E42FCD"/>
    <w:rsid w:val="00E437AA"/>
    <w:rsid w:val="00E43DCE"/>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1080"/>
    <w:rsid w:val="00EE2A3B"/>
    <w:rsid w:val="00EE4A42"/>
    <w:rsid w:val="00EF02BB"/>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6E1"/>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31BC"/>
    <w:rsid w:val="00F75708"/>
    <w:rsid w:val="00F762C1"/>
    <w:rsid w:val="00F76CCD"/>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591"/>
    <w:rsid w:val="00FD7AA7"/>
    <w:rsid w:val="00FD7C4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목록 단락,列出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744</TotalTime>
  <Pages>4</Pages>
  <Words>892</Words>
  <Characters>5088</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150</cp:revision>
  <cp:lastPrinted>2019-04-25T01:09:00Z</cp:lastPrinted>
  <dcterms:created xsi:type="dcterms:W3CDTF">2025-09-26T05:24:00Z</dcterms:created>
  <dcterms:modified xsi:type="dcterms:W3CDTF">2025-10-03T02:43:00Z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